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2228" w14:textId="77777777" w:rsidR="00310D9F" w:rsidRDefault="00310D9F">
      <w:pPr>
        <w:pStyle w:val="Corpsdetexte"/>
        <w:spacing w:before="173"/>
        <w:rPr>
          <w:sz w:val="20"/>
        </w:rPr>
      </w:pPr>
    </w:p>
    <w:p w14:paraId="0B8B0EEF" w14:textId="77777777" w:rsidR="00310D9F" w:rsidRDefault="00310D9F">
      <w:pPr>
        <w:pStyle w:val="Corpsdetexte"/>
        <w:rPr>
          <w:sz w:val="20"/>
        </w:rPr>
        <w:sectPr w:rsidR="00310D9F">
          <w:footerReference w:type="default" r:id="rId7"/>
          <w:type w:val="continuous"/>
          <w:pgSz w:w="11910" w:h="16840"/>
          <w:pgMar w:top="1180" w:right="1275" w:bottom="540" w:left="1417" w:header="0" w:footer="347" w:gutter="0"/>
          <w:pgNumType w:start="1"/>
          <w:cols w:space="720"/>
        </w:sectPr>
      </w:pPr>
    </w:p>
    <w:p w14:paraId="70C8955A" w14:textId="77777777" w:rsidR="00310D9F" w:rsidRDefault="00310D9F">
      <w:pPr>
        <w:pStyle w:val="Corpsdetexte"/>
        <w:rPr>
          <w:sz w:val="32"/>
        </w:rPr>
      </w:pPr>
    </w:p>
    <w:p w14:paraId="5A16962E" w14:textId="77777777" w:rsidR="00310D9F" w:rsidRDefault="00310D9F">
      <w:pPr>
        <w:pStyle w:val="Corpsdetexte"/>
        <w:rPr>
          <w:sz w:val="32"/>
        </w:rPr>
      </w:pPr>
    </w:p>
    <w:p w14:paraId="2F8C3F8C" w14:textId="77777777" w:rsidR="00310D9F" w:rsidRDefault="00310D9F">
      <w:pPr>
        <w:pStyle w:val="Corpsdetexte"/>
        <w:rPr>
          <w:sz w:val="32"/>
        </w:rPr>
      </w:pPr>
    </w:p>
    <w:p w14:paraId="326EB9B9" w14:textId="77777777" w:rsidR="00310D9F" w:rsidRDefault="00310D9F">
      <w:pPr>
        <w:pStyle w:val="Corpsdetexte"/>
        <w:rPr>
          <w:sz w:val="32"/>
        </w:rPr>
      </w:pPr>
    </w:p>
    <w:p w14:paraId="5CD7BC35" w14:textId="77777777" w:rsidR="00310D9F" w:rsidRDefault="00310D9F">
      <w:pPr>
        <w:pStyle w:val="Corpsdetexte"/>
        <w:spacing w:before="223"/>
        <w:rPr>
          <w:sz w:val="32"/>
        </w:rPr>
      </w:pPr>
    </w:p>
    <w:p w14:paraId="5B5C1A77" w14:textId="77777777" w:rsidR="00310D9F" w:rsidRDefault="00000000">
      <w:pPr>
        <w:pStyle w:val="Titre"/>
      </w:pPr>
      <w:r>
        <w:rPr>
          <w:noProof/>
        </w:rPr>
        <w:drawing>
          <wp:anchor distT="0" distB="0" distL="0" distR="0" simplePos="0" relativeHeight="15728640" behindDoc="0" locked="0" layoutInCell="1" allowOverlap="1" wp14:anchorId="45A859CC" wp14:editId="6689C418">
            <wp:simplePos x="0" y="0"/>
            <wp:positionH relativeFrom="page">
              <wp:posOffset>1266445</wp:posOffset>
            </wp:positionH>
            <wp:positionV relativeFrom="paragraph">
              <wp:posOffset>-1570527</wp:posOffset>
            </wp:positionV>
            <wp:extent cx="2192571" cy="8405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92571" cy="840528"/>
                    </a:xfrm>
                    <a:prstGeom prst="rect">
                      <a:avLst/>
                    </a:prstGeom>
                  </pic:spPr>
                </pic:pic>
              </a:graphicData>
            </a:graphic>
          </wp:anchor>
        </w:drawing>
      </w:r>
      <w:r>
        <w:rPr>
          <w:spacing w:val="-2"/>
          <w:w w:val="105"/>
        </w:rPr>
        <w:t>DECISION</w:t>
      </w:r>
    </w:p>
    <w:p w14:paraId="77701F91" w14:textId="77777777" w:rsidR="00310D9F" w:rsidRDefault="00310D9F">
      <w:pPr>
        <w:pStyle w:val="Corpsdetexte"/>
        <w:spacing w:before="128"/>
        <w:rPr>
          <w:rFonts w:ascii="Cambria"/>
          <w:b/>
          <w:sz w:val="32"/>
        </w:rPr>
      </w:pPr>
    </w:p>
    <w:p w14:paraId="237803CD" w14:textId="77777777" w:rsidR="00310D9F" w:rsidRDefault="00000000">
      <w:pPr>
        <w:pStyle w:val="Titre"/>
        <w:ind w:right="4"/>
      </w:pPr>
      <w:r>
        <w:rPr>
          <w:w w:val="105"/>
        </w:rPr>
        <w:t>STATUANT</w:t>
      </w:r>
      <w:r>
        <w:rPr>
          <w:spacing w:val="-10"/>
          <w:w w:val="105"/>
        </w:rPr>
        <w:t xml:space="preserve"> </w:t>
      </w:r>
      <w:r>
        <w:rPr>
          <w:w w:val="105"/>
        </w:rPr>
        <w:t>SUR</w:t>
      </w:r>
      <w:r>
        <w:rPr>
          <w:spacing w:val="-13"/>
          <w:w w:val="105"/>
        </w:rPr>
        <w:t xml:space="preserve"> </w:t>
      </w:r>
      <w:r>
        <w:rPr>
          <w:w w:val="105"/>
        </w:rPr>
        <w:t>UNE</w:t>
      </w:r>
      <w:r>
        <w:rPr>
          <w:spacing w:val="-12"/>
          <w:w w:val="105"/>
        </w:rPr>
        <w:t xml:space="preserve"> </w:t>
      </w:r>
      <w:r>
        <w:rPr>
          <w:spacing w:val="-2"/>
          <w:w w:val="105"/>
        </w:rPr>
        <w:t>OPPOSITION</w:t>
      </w:r>
    </w:p>
    <w:p w14:paraId="4E368858" w14:textId="77777777" w:rsidR="00310D9F" w:rsidRDefault="00310D9F">
      <w:pPr>
        <w:pStyle w:val="Corpsdetexte"/>
        <w:spacing w:before="354"/>
        <w:rPr>
          <w:rFonts w:ascii="Cambria"/>
          <w:b/>
          <w:sz w:val="32"/>
        </w:rPr>
      </w:pPr>
    </w:p>
    <w:p w14:paraId="1D196CA4" w14:textId="77777777" w:rsidR="00310D9F" w:rsidRDefault="00000000">
      <w:pPr>
        <w:ind w:left="4259"/>
        <w:rPr>
          <w:b/>
          <w:sz w:val="28"/>
        </w:rPr>
      </w:pPr>
      <w:r>
        <w:rPr>
          <w:b/>
          <w:spacing w:val="-4"/>
          <w:sz w:val="28"/>
        </w:rPr>
        <w:t>****</w:t>
      </w:r>
    </w:p>
    <w:p w14:paraId="73698CCB" w14:textId="77777777" w:rsidR="00310D9F" w:rsidRDefault="00000000">
      <w:pPr>
        <w:spacing w:before="117" w:line="280" w:lineRule="auto"/>
        <w:ind w:left="689" w:right="27" w:hanging="112"/>
        <w:rPr>
          <w:rFonts w:ascii="Cambria"/>
          <w:b/>
          <w:sz w:val="20"/>
        </w:rPr>
      </w:pPr>
      <w:r>
        <w:br w:type="column"/>
      </w:r>
      <w:r>
        <w:rPr>
          <w:rFonts w:ascii="Cambria"/>
          <w:b/>
          <w:spacing w:val="-4"/>
          <w:sz w:val="20"/>
        </w:rPr>
        <w:t>OPP</w:t>
      </w:r>
      <w:r>
        <w:rPr>
          <w:rFonts w:ascii="Cambria"/>
          <w:b/>
          <w:spacing w:val="-8"/>
          <w:sz w:val="20"/>
        </w:rPr>
        <w:t xml:space="preserve"> </w:t>
      </w:r>
      <w:r>
        <w:rPr>
          <w:rFonts w:ascii="Cambria"/>
          <w:b/>
          <w:spacing w:val="-4"/>
          <w:sz w:val="20"/>
        </w:rPr>
        <w:t>24-0064</w:t>
      </w:r>
      <w:r>
        <w:rPr>
          <w:rFonts w:ascii="Cambria"/>
          <w:b/>
          <w:spacing w:val="-2"/>
          <w:sz w:val="20"/>
        </w:rPr>
        <w:t xml:space="preserve"> </w:t>
      </w:r>
      <w:r>
        <w:rPr>
          <w:rFonts w:ascii="Cambria"/>
          <w:b/>
          <w:spacing w:val="-2"/>
          <w:w w:val="90"/>
          <w:sz w:val="20"/>
        </w:rPr>
        <w:t>26/06/2024</w:t>
      </w:r>
    </w:p>
    <w:p w14:paraId="334B30F2" w14:textId="77777777" w:rsidR="00310D9F" w:rsidRDefault="00310D9F">
      <w:pPr>
        <w:spacing w:line="280" w:lineRule="auto"/>
        <w:rPr>
          <w:rFonts w:ascii="Cambria"/>
          <w:b/>
          <w:sz w:val="20"/>
        </w:rPr>
        <w:sectPr w:rsidR="00310D9F">
          <w:type w:val="continuous"/>
          <w:pgSz w:w="11910" w:h="16840"/>
          <w:pgMar w:top="1180" w:right="1275" w:bottom="540" w:left="1417" w:header="0" w:footer="347" w:gutter="0"/>
          <w:cols w:num="2" w:space="720" w:equalWidth="0">
            <w:col w:w="7192" w:space="244"/>
            <w:col w:w="1782"/>
          </w:cols>
        </w:sectPr>
      </w:pPr>
    </w:p>
    <w:p w14:paraId="66A18EA6" w14:textId="77777777" w:rsidR="00310D9F" w:rsidRDefault="00310D9F">
      <w:pPr>
        <w:pStyle w:val="Corpsdetexte"/>
        <w:spacing w:before="200"/>
        <w:rPr>
          <w:rFonts w:ascii="Cambria"/>
          <w:b/>
        </w:rPr>
      </w:pPr>
    </w:p>
    <w:p w14:paraId="5EEA753B" w14:textId="77777777" w:rsidR="00310D9F" w:rsidRDefault="00000000">
      <w:pPr>
        <w:pStyle w:val="Corpsdetexte"/>
        <w:spacing w:line="261" w:lineRule="auto"/>
        <w:ind w:left="3" w:right="155" w:firstLine="568"/>
        <w:jc w:val="both"/>
      </w:pPr>
      <w:r>
        <w:rPr>
          <w:rFonts w:ascii="Cambria" w:hAnsi="Cambria"/>
          <w:b/>
        </w:rPr>
        <w:t xml:space="preserve">Vu </w:t>
      </w:r>
      <w:r>
        <w:t>le code de la propriété intellectuelle et notamment ses articles L 411-4, L 411-5, L 712-3</w:t>
      </w:r>
      <w:r>
        <w:rPr>
          <w:spacing w:val="9"/>
        </w:rPr>
        <w:t xml:space="preserve"> </w:t>
      </w:r>
      <w:r>
        <w:t>à</w:t>
      </w:r>
      <w:r>
        <w:rPr>
          <w:spacing w:val="8"/>
        </w:rPr>
        <w:t xml:space="preserve"> </w:t>
      </w:r>
      <w:r>
        <w:t>L</w:t>
      </w:r>
      <w:r>
        <w:rPr>
          <w:spacing w:val="7"/>
        </w:rPr>
        <w:t xml:space="preserve"> </w:t>
      </w:r>
      <w:r>
        <w:t>712-5-1,</w:t>
      </w:r>
      <w:r>
        <w:rPr>
          <w:spacing w:val="9"/>
        </w:rPr>
        <w:t xml:space="preserve"> </w:t>
      </w:r>
      <w:r>
        <w:t>L</w:t>
      </w:r>
      <w:r>
        <w:rPr>
          <w:spacing w:val="8"/>
        </w:rPr>
        <w:t xml:space="preserve"> </w:t>
      </w:r>
      <w:r>
        <w:t>712-7,</w:t>
      </w:r>
      <w:r>
        <w:rPr>
          <w:spacing w:val="7"/>
        </w:rPr>
        <w:t xml:space="preserve"> </w:t>
      </w:r>
      <w:r>
        <w:t>L-713-2,</w:t>
      </w:r>
      <w:r>
        <w:rPr>
          <w:spacing w:val="7"/>
        </w:rPr>
        <w:t xml:space="preserve"> </w:t>
      </w:r>
      <w:r>
        <w:t>L</w:t>
      </w:r>
      <w:r>
        <w:rPr>
          <w:spacing w:val="8"/>
        </w:rPr>
        <w:t xml:space="preserve"> </w:t>
      </w:r>
      <w:r>
        <w:t>713-3,</w:t>
      </w:r>
      <w:r>
        <w:rPr>
          <w:spacing w:val="7"/>
        </w:rPr>
        <w:t xml:space="preserve"> </w:t>
      </w:r>
      <w:r>
        <w:t>R</w:t>
      </w:r>
      <w:r>
        <w:rPr>
          <w:spacing w:val="9"/>
        </w:rPr>
        <w:t xml:space="preserve"> </w:t>
      </w:r>
      <w:r>
        <w:t>411-17,</w:t>
      </w:r>
      <w:r>
        <w:rPr>
          <w:spacing w:val="7"/>
        </w:rPr>
        <w:t xml:space="preserve"> </w:t>
      </w:r>
      <w:r>
        <w:t>R</w:t>
      </w:r>
      <w:r>
        <w:rPr>
          <w:spacing w:val="9"/>
        </w:rPr>
        <w:t xml:space="preserve"> </w:t>
      </w:r>
      <w:r>
        <w:t>712-13</w:t>
      </w:r>
      <w:r>
        <w:rPr>
          <w:spacing w:val="7"/>
        </w:rPr>
        <w:t xml:space="preserve"> </w:t>
      </w:r>
      <w:r>
        <w:t>à</w:t>
      </w:r>
      <w:r>
        <w:rPr>
          <w:spacing w:val="9"/>
        </w:rPr>
        <w:t xml:space="preserve"> </w:t>
      </w:r>
      <w:r>
        <w:t>R</w:t>
      </w:r>
      <w:r>
        <w:rPr>
          <w:spacing w:val="9"/>
        </w:rPr>
        <w:t xml:space="preserve"> </w:t>
      </w:r>
      <w:r>
        <w:t>712-19,</w:t>
      </w:r>
      <w:r>
        <w:rPr>
          <w:spacing w:val="7"/>
        </w:rPr>
        <w:t xml:space="preserve"> </w:t>
      </w:r>
      <w:r>
        <w:t>R</w:t>
      </w:r>
      <w:r>
        <w:rPr>
          <w:spacing w:val="9"/>
        </w:rPr>
        <w:t xml:space="preserve"> </w:t>
      </w:r>
      <w:r>
        <w:t>712-21,</w:t>
      </w:r>
      <w:r>
        <w:rPr>
          <w:spacing w:val="7"/>
        </w:rPr>
        <w:t xml:space="preserve"> </w:t>
      </w:r>
      <w:r>
        <w:rPr>
          <w:spacing w:val="-10"/>
        </w:rPr>
        <w:t>R</w:t>
      </w:r>
    </w:p>
    <w:p w14:paraId="63A04D18" w14:textId="77777777" w:rsidR="00310D9F" w:rsidRDefault="00000000">
      <w:pPr>
        <w:pStyle w:val="Corpsdetexte"/>
        <w:spacing w:line="252" w:lineRule="exact"/>
        <w:ind w:left="3"/>
      </w:pPr>
      <w:r>
        <w:t>712-26</w:t>
      </w:r>
      <w:r>
        <w:rPr>
          <w:spacing w:val="-1"/>
        </w:rPr>
        <w:t xml:space="preserve"> </w:t>
      </w:r>
      <w:r>
        <w:t>et</w:t>
      </w:r>
      <w:r>
        <w:rPr>
          <w:spacing w:val="1"/>
        </w:rPr>
        <w:t xml:space="preserve"> </w:t>
      </w:r>
      <w:r>
        <w:t>R</w:t>
      </w:r>
      <w:r>
        <w:rPr>
          <w:spacing w:val="-1"/>
        </w:rPr>
        <w:t xml:space="preserve"> </w:t>
      </w:r>
      <w:r>
        <w:t>718-2 à</w:t>
      </w:r>
      <w:r>
        <w:rPr>
          <w:spacing w:val="-1"/>
        </w:rPr>
        <w:t xml:space="preserve"> </w:t>
      </w:r>
      <w:r>
        <w:t>R</w:t>
      </w:r>
      <w:r>
        <w:rPr>
          <w:spacing w:val="-1"/>
        </w:rPr>
        <w:t xml:space="preserve"> </w:t>
      </w:r>
      <w:r>
        <w:t xml:space="preserve">718-5 </w:t>
      </w:r>
      <w:r>
        <w:rPr>
          <w:spacing w:val="-10"/>
        </w:rPr>
        <w:t>;</w:t>
      </w:r>
    </w:p>
    <w:p w14:paraId="17BA8ACE" w14:textId="77777777" w:rsidR="00310D9F" w:rsidRDefault="00310D9F">
      <w:pPr>
        <w:pStyle w:val="Corpsdetexte"/>
        <w:spacing w:before="22"/>
      </w:pPr>
    </w:p>
    <w:p w14:paraId="6A6BC8B1" w14:textId="77777777" w:rsidR="00310D9F" w:rsidRDefault="00000000">
      <w:pPr>
        <w:pStyle w:val="Corpsdetexte"/>
        <w:spacing w:line="261" w:lineRule="auto"/>
        <w:ind w:left="3" w:right="148" w:firstLine="568"/>
        <w:jc w:val="both"/>
      </w:pPr>
      <w:r>
        <w:rPr>
          <w:rFonts w:ascii="Cambria" w:hAnsi="Cambria"/>
          <w:b/>
        </w:rPr>
        <w:t xml:space="preserve">Vu </w:t>
      </w:r>
      <w:r>
        <w:t>l’arrêté du 24 avril 2008 modifié, relatif aux redevances de procédure perçues par l'Institut national de la propriété industrielle ;</w:t>
      </w:r>
    </w:p>
    <w:p w14:paraId="43FF0F8F" w14:textId="77777777" w:rsidR="00310D9F" w:rsidRDefault="00000000">
      <w:pPr>
        <w:pStyle w:val="Corpsdetexte"/>
        <w:spacing w:before="273" w:line="252" w:lineRule="auto"/>
        <w:ind w:left="3" w:right="154" w:firstLine="568"/>
        <w:jc w:val="both"/>
      </w:pPr>
      <w:r>
        <w:rPr>
          <w:rFonts w:ascii="Cambria" w:hAnsi="Cambria"/>
          <w:b/>
        </w:rPr>
        <w:t xml:space="preserve">Vu </w:t>
      </w:r>
      <w:r>
        <w:t>la décision modifiée n° 2014-142 bis du Directeur Général de l'Institut National de</w:t>
      </w:r>
      <w:r>
        <w:rPr>
          <w:spacing w:val="40"/>
        </w:rPr>
        <w:t xml:space="preserve"> </w:t>
      </w:r>
      <w:r>
        <w:t>la Propriété Industrielle relative aux conditions de présentation et au contenu du dossier des demandes d'enregistrement de marques ;</w:t>
      </w:r>
    </w:p>
    <w:p w14:paraId="2B04B1F3" w14:textId="77777777" w:rsidR="00310D9F" w:rsidRDefault="00310D9F">
      <w:pPr>
        <w:pStyle w:val="Corpsdetexte"/>
        <w:spacing w:before="6"/>
      </w:pPr>
    </w:p>
    <w:p w14:paraId="6E2B7850" w14:textId="77777777" w:rsidR="00310D9F" w:rsidRDefault="00000000">
      <w:pPr>
        <w:pStyle w:val="Corpsdetexte"/>
        <w:spacing w:before="1" w:line="252" w:lineRule="auto"/>
        <w:ind w:left="3" w:right="153" w:firstLine="568"/>
        <w:jc w:val="both"/>
      </w:pPr>
      <w:r>
        <w:rPr>
          <w:rFonts w:ascii="Cambria" w:hAnsi="Cambria"/>
          <w:b/>
        </w:rPr>
        <w:t xml:space="preserve">Vu </w:t>
      </w:r>
      <w:r>
        <w:t xml:space="preserve">la décision n° 2019-158 du Directeur Général de l'Institut National de la Propriété Industrielle relative aux modalités de la procédure d’opposition à enregistrement d’une </w:t>
      </w:r>
      <w:r>
        <w:rPr>
          <w:spacing w:val="-2"/>
        </w:rPr>
        <w:t>marque.</w:t>
      </w:r>
    </w:p>
    <w:p w14:paraId="14B38861" w14:textId="77777777" w:rsidR="00310D9F" w:rsidRDefault="00310D9F">
      <w:pPr>
        <w:pStyle w:val="Corpsdetexte"/>
      </w:pPr>
    </w:p>
    <w:p w14:paraId="4683B9B2" w14:textId="77777777" w:rsidR="00310D9F" w:rsidRDefault="00310D9F">
      <w:pPr>
        <w:pStyle w:val="Corpsdetexte"/>
        <w:spacing w:before="5"/>
      </w:pPr>
    </w:p>
    <w:p w14:paraId="4677ADF1" w14:textId="77777777" w:rsidR="00310D9F" w:rsidRDefault="00000000">
      <w:pPr>
        <w:pStyle w:val="Titre1"/>
      </w:pPr>
      <w:r>
        <w:rPr>
          <w:w w:val="105"/>
        </w:rPr>
        <w:t>I.-</w:t>
      </w:r>
      <w:r>
        <w:rPr>
          <w:spacing w:val="-6"/>
          <w:w w:val="105"/>
        </w:rPr>
        <w:t xml:space="preserve"> </w:t>
      </w:r>
      <w:r>
        <w:rPr>
          <w:w w:val="105"/>
        </w:rPr>
        <w:t>FAITS</w:t>
      </w:r>
      <w:r>
        <w:rPr>
          <w:spacing w:val="-5"/>
          <w:w w:val="105"/>
        </w:rPr>
        <w:t xml:space="preserve"> </w:t>
      </w:r>
      <w:r>
        <w:rPr>
          <w:w w:val="105"/>
        </w:rPr>
        <w:t>ET</w:t>
      </w:r>
      <w:r>
        <w:rPr>
          <w:spacing w:val="-4"/>
          <w:w w:val="105"/>
        </w:rPr>
        <w:t xml:space="preserve"> </w:t>
      </w:r>
      <w:r>
        <w:rPr>
          <w:spacing w:val="-2"/>
          <w:w w:val="105"/>
        </w:rPr>
        <w:t>PROCEDURE</w:t>
      </w:r>
    </w:p>
    <w:p w14:paraId="7858CCF1" w14:textId="77777777" w:rsidR="00310D9F" w:rsidRDefault="00310D9F">
      <w:pPr>
        <w:pStyle w:val="Corpsdetexte"/>
        <w:rPr>
          <w:rFonts w:ascii="Cambria"/>
          <w:b/>
        </w:rPr>
      </w:pPr>
    </w:p>
    <w:p w14:paraId="01BB23F4" w14:textId="77777777" w:rsidR="00310D9F" w:rsidRDefault="00310D9F">
      <w:pPr>
        <w:pStyle w:val="Corpsdetexte"/>
        <w:spacing w:before="15"/>
        <w:rPr>
          <w:rFonts w:ascii="Cambria"/>
          <w:b/>
        </w:rPr>
      </w:pPr>
    </w:p>
    <w:p w14:paraId="035EF86C" w14:textId="77777777" w:rsidR="00310D9F" w:rsidRDefault="00000000">
      <w:pPr>
        <w:pStyle w:val="Corpsdetexte"/>
        <w:spacing w:before="1"/>
        <w:ind w:left="3" w:right="198" w:firstLine="720"/>
        <w:jc w:val="both"/>
      </w:pPr>
      <w:r>
        <w:t>La société PERLE DU MARAIS (SARL), a déposé le 6 octobre 2023, la demande d’enregistrement n°23/4996141 portant sur le signe verbal COCOPINK BIJOUX.</w:t>
      </w:r>
    </w:p>
    <w:p w14:paraId="6D6D043A" w14:textId="77777777" w:rsidR="00310D9F" w:rsidRDefault="00000000">
      <w:pPr>
        <w:pStyle w:val="Corpsdetexte"/>
        <w:spacing w:before="276"/>
        <w:ind w:left="3" w:right="146" w:firstLine="708"/>
        <w:jc w:val="both"/>
      </w:pPr>
      <w:r>
        <w:t>Le 20 décembre 2023, la société CHANEL (Société par actions simplifiée) a formé opposition à l’enregistrement de cette marque sur la base de la marque verbale COCO, déposée le 4 décembre 1988 sous le n°1438544.</w:t>
      </w:r>
    </w:p>
    <w:p w14:paraId="0A48105D" w14:textId="77777777" w:rsidR="00310D9F" w:rsidRDefault="00310D9F">
      <w:pPr>
        <w:pStyle w:val="Corpsdetexte"/>
      </w:pPr>
    </w:p>
    <w:p w14:paraId="09A86853" w14:textId="77777777" w:rsidR="00310D9F" w:rsidRDefault="00000000">
      <w:pPr>
        <w:pStyle w:val="Corpsdetexte"/>
        <w:ind w:left="3" w:right="152" w:firstLine="720"/>
        <w:jc w:val="both"/>
      </w:pPr>
      <w:r>
        <w:t>L'opposition a été notifiée au titulaire de la demande d’enregistrement. Cette notification l’invitait à présenter des observations en réponse à l'opposition dans un délai de deux mois.</w:t>
      </w:r>
    </w:p>
    <w:p w14:paraId="1CB6F5E5" w14:textId="77777777" w:rsidR="00310D9F" w:rsidRDefault="00310D9F">
      <w:pPr>
        <w:pStyle w:val="Corpsdetexte"/>
        <w:jc w:val="both"/>
        <w:sectPr w:rsidR="00310D9F">
          <w:type w:val="continuous"/>
          <w:pgSz w:w="11910" w:h="16840"/>
          <w:pgMar w:top="1180" w:right="1275" w:bottom="540" w:left="1417" w:header="0" w:footer="347" w:gutter="0"/>
          <w:cols w:space="720"/>
        </w:sectPr>
      </w:pPr>
    </w:p>
    <w:p w14:paraId="32041F72" w14:textId="77777777" w:rsidR="00310D9F" w:rsidRDefault="00310D9F">
      <w:pPr>
        <w:pStyle w:val="Corpsdetexte"/>
        <w:spacing w:before="228"/>
      </w:pPr>
    </w:p>
    <w:p w14:paraId="6337164E" w14:textId="77777777" w:rsidR="00310D9F" w:rsidRDefault="00000000">
      <w:pPr>
        <w:pStyle w:val="Corpsdetexte"/>
        <w:ind w:left="3" w:right="149" w:firstLine="708"/>
        <w:jc w:val="both"/>
      </w:pPr>
      <w:r>
        <w:t xml:space="preserve">Au cours de la phase d’instruction, les parties ont présenté des observations écrites. A l’issue de tous les échanges, la phase d’instruction a pris fin, ce dont les parties ont été </w:t>
      </w:r>
      <w:r>
        <w:rPr>
          <w:spacing w:val="-2"/>
        </w:rPr>
        <w:t>informées.</w:t>
      </w:r>
    </w:p>
    <w:p w14:paraId="535F8986" w14:textId="77777777" w:rsidR="00310D9F" w:rsidRDefault="00310D9F">
      <w:pPr>
        <w:pStyle w:val="Corpsdetexte"/>
        <w:spacing w:before="20"/>
      </w:pPr>
    </w:p>
    <w:p w14:paraId="132BB5B2" w14:textId="77777777" w:rsidR="00310D9F" w:rsidRDefault="00000000">
      <w:pPr>
        <w:pStyle w:val="Titre1"/>
        <w:jc w:val="both"/>
      </w:pPr>
      <w:r>
        <w:rPr>
          <w:w w:val="110"/>
        </w:rPr>
        <w:t>II.-</w:t>
      </w:r>
      <w:r>
        <w:rPr>
          <w:spacing w:val="-1"/>
          <w:w w:val="110"/>
        </w:rPr>
        <w:t xml:space="preserve"> </w:t>
      </w:r>
      <w:r>
        <w:rPr>
          <w:spacing w:val="-2"/>
          <w:w w:val="110"/>
        </w:rPr>
        <w:t>DECISION</w:t>
      </w:r>
    </w:p>
    <w:p w14:paraId="0EE6233E" w14:textId="77777777" w:rsidR="00310D9F" w:rsidRDefault="00310D9F">
      <w:pPr>
        <w:pStyle w:val="Corpsdetexte"/>
        <w:rPr>
          <w:rFonts w:ascii="Cambria"/>
          <w:b/>
        </w:rPr>
      </w:pPr>
    </w:p>
    <w:p w14:paraId="2DE2B021" w14:textId="77777777" w:rsidR="00310D9F" w:rsidRDefault="00310D9F">
      <w:pPr>
        <w:pStyle w:val="Corpsdetexte"/>
        <w:spacing w:before="144"/>
        <w:rPr>
          <w:rFonts w:ascii="Cambria"/>
          <w:b/>
        </w:rPr>
      </w:pPr>
    </w:p>
    <w:p w14:paraId="6C8BBB13" w14:textId="77777777" w:rsidR="00310D9F" w:rsidRDefault="00000000">
      <w:pPr>
        <w:pStyle w:val="Titre2"/>
        <w:numPr>
          <w:ilvl w:val="0"/>
          <w:numId w:val="1"/>
        </w:numPr>
        <w:tabs>
          <w:tab w:val="left" w:pos="722"/>
        </w:tabs>
        <w:ind w:left="722" w:hanging="359"/>
      </w:pPr>
      <w:r>
        <w:t>Sur</w:t>
      </w:r>
      <w:r>
        <w:rPr>
          <w:spacing w:val="8"/>
        </w:rPr>
        <w:t xml:space="preserve"> </w:t>
      </w:r>
      <w:r>
        <w:t>la</w:t>
      </w:r>
      <w:r>
        <w:rPr>
          <w:spacing w:val="8"/>
        </w:rPr>
        <w:t xml:space="preserve"> </w:t>
      </w:r>
      <w:r>
        <w:t>recevabilité</w:t>
      </w:r>
      <w:r>
        <w:rPr>
          <w:spacing w:val="7"/>
        </w:rPr>
        <w:t xml:space="preserve"> </w:t>
      </w:r>
      <w:r>
        <w:t>de</w:t>
      </w:r>
      <w:r>
        <w:rPr>
          <w:spacing w:val="7"/>
        </w:rPr>
        <w:t xml:space="preserve"> </w:t>
      </w:r>
      <w:r>
        <w:rPr>
          <w:spacing w:val="-2"/>
        </w:rPr>
        <w:t>l’opposition</w:t>
      </w:r>
    </w:p>
    <w:p w14:paraId="4794C6FB" w14:textId="77777777" w:rsidR="00310D9F" w:rsidRDefault="00310D9F">
      <w:pPr>
        <w:pStyle w:val="Corpsdetexte"/>
        <w:spacing w:before="21"/>
        <w:rPr>
          <w:rFonts w:ascii="Cambria"/>
          <w:b/>
        </w:rPr>
      </w:pPr>
    </w:p>
    <w:p w14:paraId="31A2676C" w14:textId="77777777" w:rsidR="00310D9F" w:rsidRDefault="00000000">
      <w:pPr>
        <w:pStyle w:val="Corpsdetexte"/>
        <w:ind w:left="3" w:right="151"/>
        <w:jc w:val="both"/>
      </w:pPr>
      <w:r>
        <w:t>La société déposante sollicite l’irrecevabilité de la présente opposition au motif que le signataire de celle-ci ne démontre pas sa qualité de représentant légal au sein de la personne morale opposante , titulaire du droit antérieur.</w:t>
      </w:r>
    </w:p>
    <w:p w14:paraId="3E6664B7" w14:textId="77777777" w:rsidR="00310D9F" w:rsidRDefault="00310D9F">
      <w:pPr>
        <w:pStyle w:val="Corpsdetexte"/>
      </w:pPr>
    </w:p>
    <w:p w14:paraId="79328915" w14:textId="77777777" w:rsidR="00310D9F" w:rsidRDefault="00000000">
      <w:pPr>
        <w:ind w:left="3" w:right="143"/>
        <w:jc w:val="both"/>
        <w:rPr>
          <w:sz w:val="24"/>
        </w:rPr>
      </w:pPr>
      <w:r>
        <w:rPr>
          <w:sz w:val="24"/>
        </w:rPr>
        <w:t>A ce titre, elle se fonde sur les articles R. 712-14 et R. 712-15 du Code de la propriété industrielle</w:t>
      </w:r>
      <w:r>
        <w:rPr>
          <w:spacing w:val="-2"/>
          <w:sz w:val="24"/>
        </w:rPr>
        <w:t xml:space="preserve"> </w:t>
      </w:r>
      <w:r>
        <w:rPr>
          <w:sz w:val="24"/>
        </w:rPr>
        <w:t>qui</w:t>
      </w:r>
      <w:r>
        <w:rPr>
          <w:spacing w:val="-5"/>
          <w:sz w:val="24"/>
        </w:rPr>
        <w:t xml:space="preserve"> </w:t>
      </w:r>
      <w:r>
        <w:rPr>
          <w:sz w:val="24"/>
        </w:rPr>
        <w:t>disposent</w:t>
      </w:r>
      <w:r>
        <w:rPr>
          <w:spacing w:val="-3"/>
          <w:sz w:val="24"/>
        </w:rPr>
        <w:t xml:space="preserve"> </w:t>
      </w:r>
      <w:r>
        <w:rPr>
          <w:sz w:val="24"/>
        </w:rPr>
        <w:t>respectivement</w:t>
      </w:r>
      <w:r>
        <w:rPr>
          <w:spacing w:val="-2"/>
          <w:sz w:val="24"/>
        </w:rPr>
        <w:t xml:space="preserve"> </w:t>
      </w:r>
      <w:r>
        <w:rPr>
          <w:sz w:val="24"/>
        </w:rPr>
        <w:t>que</w:t>
      </w:r>
      <w:r>
        <w:rPr>
          <w:spacing w:val="-3"/>
          <w:sz w:val="24"/>
        </w:rPr>
        <w:t xml:space="preserve"> </w:t>
      </w:r>
      <w:r>
        <w:rPr>
          <w:sz w:val="24"/>
        </w:rPr>
        <w:t xml:space="preserve">« </w:t>
      </w:r>
      <w:r>
        <w:rPr>
          <w:i/>
          <w:sz w:val="24"/>
        </w:rPr>
        <w:t>L'opposition</w:t>
      </w:r>
      <w:r>
        <w:rPr>
          <w:i/>
          <w:spacing w:val="-3"/>
          <w:sz w:val="24"/>
        </w:rPr>
        <w:t xml:space="preserve"> </w:t>
      </w:r>
      <w:r>
        <w:rPr>
          <w:i/>
          <w:sz w:val="24"/>
        </w:rPr>
        <w:t>est</w:t>
      </w:r>
      <w:r>
        <w:rPr>
          <w:i/>
          <w:spacing w:val="-3"/>
          <w:sz w:val="24"/>
        </w:rPr>
        <w:t xml:space="preserve"> </w:t>
      </w:r>
      <w:r>
        <w:rPr>
          <w:i/>
          <w:sz w:val="24"/>
        </w:rPr>
        <w:t>présentée</w:t>
      </w:r>
      <w:r>
        <w:rPr>
          <w:i/>
          <w:spacing w:val="-3"/>
          <w:sz w:val="24"/>
        </w:rPr>
        <w:t xml:space="preserve"> </w:t>
      </w:r>
      <w:r>
        <w:rPr>
          <w:i/>
          <w:sz w:val="24"/>
        </w:rPr>
        <w:t>par</w:t>
      </w:r>
      <w:r>
        <w:rPr>
          <w:i/>
          <w:spacing w:val="-4"/>
          <w:sz w:val="24"/>
        </w:rPr>
        <w:t xml:space="preserve"> </w:t>
      </w:r>
      <w:r>
        <w:rPr>
          <w:i/>
          <w:sz w:val="24"/>
        </w:rPr>
        <w:t>écrit</w:t>
      </w:r>
      <w:r>
        <w:rPr>
          <w:i/>
          <w:spacing w:val="-2"/>
          <w:sz w:val="24"/>
        </w:rPr>
        <w:t xml:space="preserve"> </w:t>
      </w:r>
      <w:r>
        <w:rPr>
          <w:i/>
          <w:sz w:val="24"/>
        </w:rPr>
        <w:t>suivant</w:t>
      </w:r>
      <w:r>
        <w:rPr>
          <w:i/>
          <w:spacing w:val="-2"/>
          <w:sz w:val="24"/>
        </w:rPr>
        <w:t xml:space="preserve"> </w:t>
      </w:r>
      <w:r>
        <w:rPr>
          <w:i/>
          <w:sz w:val="24"/>
        </w:rPr>
        <w:t xml:space="preserve">les modalités fixées par décision du directeur général de l'Institut national de la propriété industrielle. Elle comprend : (…) Le cas échéant, sauf lorsqu'il a la qualité de conseil en propriété industrielle ou d'avocat, le pouvoir du mandataire </w:t>
      </w:r>
      <w:r>
        <w:rPr>
          <w:sz w:val="24"/>
        </w:rPr>
        <w:t xml:space="preserve">» et qu’« </w:t>
      </w:r>
      <w:r>
        <w:rPr>
          <w:i/>
          <w:sz w:val="24"/>
        </w:rPr>
        <w:t>Est déclarée</w:t>
      </w:r>
      <w:r>
        <w:rPr>
          <w:i/>
          <w:spacing w:val="40"/>
          <w:sz w:val="24"/>
        </w:rPr>
        <w:t xml:space="preserve"> </w:t>
      </w:r>
      <w:r>
        <w:rPr>
          <w:i/>
          <w:sz w:val="24"/>
        </w:rPr>
        <w:t>irrecevable toute opposition soit formée hors délai, soit présentée par une personne qui n'avait pas qualité, soit non conforme aux conditions prévues aux articles R. 712-13 et R.</w:t>
      </w:r>
      <w:r>
        <w:rPr>
          <w:i/>
          <w:spacing w:val="40"/>
          <w:sz w:val="24"/>
        </w:rPr>
        <w:t xml:space="preserve"> </w:t>
      </w:r>
      <w:r>
        <w:rPr>
          <w:i/>
          <w:sz w:val="24"/>
        </w:rPr>
        <w:t xml:space="preserve">712-14 </w:t>
      </w:r>
      <w:r>
        <w:rPr>
          <w:sz w:val="24"/>
        </w:rPr>
        <w:t>».</w:t>
      </w:r>
    </w:p>
    <w:p w14:paraId="22C1EB35" w14:textId="77777777" w:rsidR="00310D9F" w:rsidRDefault="00310D9F">
      <w:pPr>
        <w:pStyle w:val="Corpsdetexte"/>
      </w:pPr>
    </w:p>
    <w:p w14:paraId="04691E68" w14:textId="77777777" w:rsidR="00310D9F" w:rsidRDefault="00000000">
      <w:pPr>
        <w:pStyle w:val="Corpsdetexte"/>
        <w:ind w:left="3" w:right="157"/>
        <w:jc w:val="both"/>
      </w:pPr>
      <w:r>
        <w:t>Toutefois, dans le cadre d’une procédure en ligne, les échanges entre les parties devant s’effectuer sous forme électronique sur le site internet de l’INPI via le portail électronique dédié,</w:t>
      </w:r>
      <w:r>
        <w:rPr>
          <w:spacing w:val="-1"/>
        </w:rPr>
        <w:t xml:space="preserve"> </w:t>
      </w:r>
      <w:r>
        <w:t>l’accès</w:t>
      </w:r>
      <w:r>
        <w:rPr>
          <w:spacing w:val="-2"/>
        </w:rPr>
        <w:t xml:space="preserve"> </w:t>
      </w:r>
      <w:r>
        <w:t>à</w:t>
      </w:r>
      <w:r>
        <w:rPr>
          <w:spacing w:val="-3"/>
        </w:rPr>
        <w:t xml:space="preserve"> </w:t>
      </w:r>
      <w:r>
        <w:t>ladite</w:t>
      </w:r>
      <w:r>
        <w:rPr>
          <w:spacing w:val="-2"/>
        </w:rPr>
        <w:t xml:space="preserve"> </w:t>
      </w:r>
      <w:r>
        <w:t>procédure</w:t>
      </w:r>
      <w:r>
        <w:rPr>
          <w:spacing w:val="-3"/>
        </w:rPr>
        <w:t xml:space="preserve"> </w:t>
      </w:r>
      <w:r>
        <w:t>est</w:t>
      </w:r>
      <w:r>
        <w:rPr>
          <w:spacing w:val="-3"/>
        </w:rPr>
        <w:t xml:space="preserve"> </w:t>
      </w:r>
      <w:r>
        <w:t>réservée</w:t>
      </w:r>
      <w:r>
        <w:rPr>
          <w:spacing w:val="-3"/>
        </w:rPr>
        <w:t xml:space="preserve"> </w:t>
      </w:r>
      <w:r>
        <w:t>soit</w:t>
      </w:r>
      <w:r>
        <w:rPr>
          <w:spacing w:val="-3"/>
        </w:rPr>
        <w:t xml:space="preserve"> </w:t>
      </w:r>
      <w:r>
        <w:t>à</w:t>
      </w:r>
      <w:r>
        <w:rPr>
          <w:spacing w:val="-3"/>
        </w:rPr>
        <w:t xml:space="preserve"> </w:t>
      </w:r>
      <w:r>
        <w:t>l’opposant</w:t>
      </w:r>
      <w:r>
        <w:rPr>
          <w:spacing w:val="-3"/>
        </w:rPr>
        <w:t xml:space="preserve"> </w:t>
      </w:r>
      <w:r>
        <w:t>lui-même,</w:t>
      </w:r>
      <w:r>
        <w:rPr>
          <w:spacing w:val="-1"/>
        </w:rPr>
        <w:t xml:space="preserve"> </w:t>
      </w:r>
      <w:r>
        <w:t>soit</w:t>
      </w:r>
      <w:r>
        <w:rPr>
          <w:spacing w:val="-3"/>
        </w:rPr>
        <w:t xml:space="preserve"> </w:t>
      </w:r>
      <w:r>
        <w:t>à</w:t>
      </w:r>
      <w:r>
        <w:rPr>
          <w:spacing w:val="-3"/>
        </w:rPr>
        <w:t xml:space="preserve"> </w:t>
      </w:r>
      <w:r>
        <w:t>son</w:t>
      </w:r>
      <w:r>
        <w:rPr>
          <w:spacing w:val="-3"/>
        </w:rPr>
        <w:t xml:space="preserve"> </w:t>
      </w:r>
      <w:r>
        <w:t>mandataire dûment habilité.</w:t>
      </w:r>
    </w:p>
    <w:p w14:paraId="4FC04091" w14:textId="77777777" w:rsidR="00310D9F" w:rsidRDefault="00310D9F">
      <w:pPr>
        <w:pStyle w:val="Corpsdetexte"/>
      </w:pPr>
    </w:p>
    <w:p w14:paraId="1D79CAC7" w14:textId="77777777" w:rsidR="00310D9F" w:rsidRDefault="00000000">
      <w:pPr>
        <w:pStyle w:val="Corpsdetexte"/>
        <w:spacing w:before="1"/>
        <w:ind w:left="3" w:right="150"/>
        <w:jc w:val="both"/>
      </w:pPr>
      <w:r>
        <w:t xml:space="preserve">En l’espèce, le compte client utilisé par l’opposante pour former l’opposition s’avère être le compte client de la société CHANEL, titulaire du droit antérieur invoqué à l’appui de </w:t>
      </w:r>
      <w:r>
        <w:rPr>
          <w:spacing w:val="-2"/>
        </w:rPr>
        <w:t>l’opposition.</w:t>
      </w:r>
    </w:p>
    <w:p w14:paraId="6464EE6F" w14:textId="77777777" w:rsidR="00310D9F" w:rsidRDefault="00000000">
      <w:pPr>
        <w:pStyle w:val="Corpsdetexte"/>
        <w:spacing w:before="276"/>
        <w:ind w:left="3" w:right="154"/>
        <w:jc w:val="both"/>
      </w:pPr>
      <w:r>
        <w:t>En</w:t>
      </w:r>
      <w:r>
        <w:rPr>
          <w:spacing w:val="-2"/>
        </w:rPr>
        <w:t xml:space="preserve"> </w:t>
      </w:r>
      <w:r>
        <w:t>outre,</w:t>
      </w:r>
      <w:r>
        <w:rPr>
          <w:spacing w:val="-2"/>
        </w:rPr>
        <w:t xml:space="preserve"> </w:t>
      </w:r>
      <w:r>
        <w:t>il</w:t>
      </w:r>
      <w:r>
        <w:rPr>
          <w:spacing w:val="-2"/>
        </w:rPr>
        <w:t xml:space="preserve"> </w:t>
      </w:r>
      <w:r>
        <w:t>convient de</w:t>
      </w:r>
      <w:r>
        <w:rPr>
          <w:spacing w:val="-2"/>
        </w:rPr>
        <w:t xml:space="preserve"> </w:t>
      </w:r>
      <w:r>
        <w:t>relever</w:t>
      </w:r>
      <w:r>
        <w:rPr>
          <w:spacing w:val="-2"/>
        </w:rPr>
        <w:t xml:space="preserve"> </w:t>
      </w:r>
      <w:r>
        <w:t>qu’au</w:t>
      </w:r>
      <w:r>
        <w:rPr>
          <w:spacing w:val="-2"/>
        </w:rPr>
        <w:t xml:space="preserve"> </w:t>
      </w:r>
      <w:r>
        <w:t>sein</w:t>
      </w:r>
      <w:r>
        <w:rPr>
          <w:spacing w:val="-2"/>
        </w:rPr>
        <w:t xml:space="preserve"> </w:t>
      </w:r>
      <w:r>
        <w:t>de</w:t>
      </w:r>
      <w:r>
        <w:rPr>
          <w:spacing w:val="-2"/>
        </w:rPr>
        <w:t xml:space="preserve"> </w:t>
      </w:r>
      <w:r>
        <w:t>la</w:t>
      </w:r>
      <w:r>
        <w:rPr>
          <w:spacing w:val="-2"/>
        </w:rPr>
        <w:t xml:space="preserve"> </w:t>
      </w:r>
      <w:r>
        <w:t>rubrique</w:t>
      </w:r>
      <w:r>
        <w:rPr>
          <w:spacing w:val="-2"/>
        </w:rPr>
        <w:t xml:space="preserve"> </w:t>
      </w:r>
      <w:r>
        <w:t>«</w:t>
      </w:r>
      <w:r>
        <w:rPr>
          <w:spacing w:val="-3"/>
        </w:rPr>
        <w:t xml:space="preserve"> </w:t>
      </w:r>
      <w:r>
        <w:t>Nom</w:t>
      </w:r>
      <w:r>
        <w:rPr>
          <w:spacing w:val="-2"/>
        </w:rPr>
        <w:t xml:space="preserve"> </w:t>
      </w:r>
      <w:r>
        <w:t>et</w:t>
      </w:r>
      <w:r>
        <w:rPr>
          <w:spacing w:val="-2"/>
        </w:rPr>
        <w:t xml:space="preserve"> </w:t>
      </w:r>
      <w:r>
        <w:t>adresse</w:t>
      </w:r>
      <w:r>
        <w:rPr>
          <w:spacing w:val="-4"/>
        </w:rPr>
        <w:t xml:space="preserve"> </w:t>
      </w:r>
      <w:r>
        <w:t>de</w:t>
      </w:r>
      <w:r>
        <w:rPr>
          <w:spacing w:val="-2"/>
        </w:rPr>
        <w:t xml:space="preserve"> </w:t>
      </w:r>
      <w:r>
        <w:t>l'opposant</w:t>
      </w:r>
      <w:r>
        <w:rPr>
          <w:spacing w:val="-2"/>
        </w:rPr>
        <w:t xml:space="preserve"> </w:t>
      </w:r>
      <w:r>
        <w:t>ou</w:t>
      </w:r>
      <w:r>
        <w:rPr>
          <w:spacing w:val="-3"/>
        </w:rPr>
        <w:t xml:space="preserve"> </w:t>
      </w:r>
      <w:r>
        <w:t>de son mandataire à qui la correspondance doit être adressée » du récapitulatif de la présente opposition, sont mentionnés la société CHANEL ainsi que Madame M N</w:t>
      </w:r>
    </w:p>
    <w:p w14:paraId="0F1C16BB" w14:textId="77777777" w:rsidR="00310D9F" w:rsidRDefault="00310D9F">
      <w:pPr>
        <w:pStyle w:val="Corpsdetexte"/>
      </w:pPr>
    </w:p>
    <w:p w14:paraId="43A0C7D2" w14:textId="77777777" w:rsidR="00310D9F" w:rsidRDefault="00000000">
      <w:pPr>
        <w:pStyle w:val="Corpsdetexte"/>
        <w:ind w:left="3" w:right="153"/>
        <w:jc w:val="both"/>
      </w:pPr>
      <w:r>
        <w:t>Ainsi, il ressort des éléments précités et notamment de l'utilisation du compte client de la société CHANEL pour former opposition, que Madame M N avait qualité pour agir pour former opposition au nom de la société CHANEL.</w:t>
      </w:r>
    </w:p>
    <w:p w14:paraId="0A1E8C7F" w14:textId="77777777" w:rsidR="00310D9F" w:rsidRDefault="00310D9F">
      <w:pPr>
        <w:pStyle w:val="Corpsdetexte"/>
      </w:pPr>
    </w:p>
    <w:p w14:paraId="5100A95F" w14:textId="77777777" w:rsidR="00310D9F" w:rsidRDefault="00000000">
      <w:pPr>
        <w:pStyle w:val="Corpsdetexte"/>
        <w:ind w:left="3"/>
        <w:jc w:val="both"/>
      </w:pPr>
      <w:r>
        <w:t>La</w:t>
      </w:r>
      <w:r>
        <w:rPr>
          <w:spacing w:val="-3"/>
        </w:rPr>
        <w:t xml:space="preserve"> </w:t>
      </w:r>
      <w:r>
        <w:t>présente</w:t>
      </w:r>
      <w:r>
        <w:rPr>
          <w:spacing w:val="-3"/>
        </w:rPr>
        <w:t xml:space="preserve"> </w:t>
      </w:r>
      <w:r>
        <w:t>opposition</w:t>
      </w:r>
      <w:r>
        <w:rPr>
          <w:spacing w:val="-3"/>
        </w:rPr>
        <w:t xml:space="preserve"> </w:t>
      </w:r>
      <w:r>
        <w:t>est</w:t>
      </w:r>
      <w:r>
        <w:rPr>
          <w:spacing w:val="-3"/>
        </w:rPr>
        <w:t xml:space="preserve"> </w:t>
      </w:r>
      <w:r>
        <w:t>en</w:t>
      </w:r>
      <w:r>
        <w:rPr>
          <w:spacing w:val="-4"/>
        </w:rPr>
        <w:t xml:space="preserve"> </w:t>
      </w:r>
      <w:r>
        <w:t>conséquence</w:t>
      </w:r>
      <w:r>
        <w:rPr>
          <w:spacing w:val="-2"/>
        </w:rPr>
        <w:t xml:space="preserve"> recevable.</w:t>
      </w:r>
    </w:p>
    <w:p w14:paraId="216E750F" w14:textId="77777777" w:rsidR="00310D9F" w:rsidRDefault="00310D9F">
      <w:pPr>
        <w:pStyle w:val="Corpsdetexte"/>
      </w:pPr>
    </w:p>
    <w:p w14:paraId="258D883C" w14:textId="77777777" w:rsidR="00310D9F" w:rsidRDefault="00310D9F">
      <w:pPr>
        <w:pStyle w:val="Corpsdetexte"/>
        <w:spacing w:before="20"/>
      </w:pPr>
    </w:p>
    <w:p w14:paraId="41B019B9" w14:textId="77777777" w:rsidR="00310D9F" w:rsidRDefault="00000000">
      <w:pPr>
        <w:pStyle w:val="Titre2"/>
        <w:numPr>
          <w:ilvl w:val="0"/>
          <w:numId w:val="1"/>
        </w:numPr>
        <w:tabs>
          <w:tab w:val="left" w:pos="722"/>
        </w:tabs>
        <w:ind w:left="722" w:hanging="359"/>
      </w:pPr>
      <w:r>
        <w:t>Sur</w:t>
      </w:r>
      <w:r>
        <w:rPr>
          <w:spacing w:val="8"/>
        </w:rPr>
        <w:t xml:space="preserve"> </w:t>
      </w:r>
      <w:r>
        <w:t>l’existence</w:t>
      </w:r>
      <w:r>
        <w:rPr>
          <w:spacing w:val="9"/>
        </w:rPr>
        <w:t xml:space="preserve"> </w:t>
      </w:r>
      <w:r>
        <w:t>d’un</w:t>
      </w:r>
      <w:r>
        <w:rPr>
          <w:spacing w:val="7"/>
        </w:rPr>
        <w:t xml:space="preserve"> </w:t>
      </w:r>
      <w:r>
        <w:t>risque</w:t>
      </w:r>
      <w:r>
        <w:rPr>
          <w:spacing w:val="7"/>
        </w:rPr>
        <w:t xml:space="preserve"> </w:t>
      </w:r>
      <w:r>
        <w:t>de</w:t>
      </w:r>
      <w:r>
        <w:rPr>
          <w:spacing w:val="4"/>
        </w:rPr>
        <w:t xml:space="preserve"> </w:t>
      </w:r>
      <w:r>
        <w:t>confusion</w:t>
      </w:r>
      <w:r>
        <w:rPr>
          <w:spacing w:val="7"/>
        </w:rPr>
        <w:t xml:space="preserve"> </w:t>
      </w:r>
      <w:r>
        <w:t>avec</w:t>
      </w:r>
      <w:r>
        <w:rPr>
          <w:spacing w:val="8"/>
        </w:rPr>
        <w:t xml:space="preserve"> </w:t>
      </w:r>
      <w:r>
        <w:t>la</w:t>
      </w:r>
      <w:r>
        <w:rPr>
          <w:spacing w:val="8"/>
        </w:rPr>
        <w:t xml:space="preserve"> </w:t>
      </w:r>
      <w:r>
        <w:t>marque</w:t>
      </w:r>
      <w:r>
        <w:rPr>
          <w:spacing w:val="7"/>
        </w:rPr>
        <w:t xml:space="preserve"> </w:t>
      </w:r>
      <w:r>
        <w:rPr>
          <w:spacing w:val="-2"/>
        </w:rPr>
        <w:t>n°1438544</w:t>
      </w:r>
    </w:p>
    <w:p w14:paraId="1BD7A354" w14:textId="77777777" w:rsidR="00310D9F" w:rsidRDefault="00310D9F">
      <w:pPr>
        <w:pStyle w:val="Corpsdetexte"/>
        <w:spacing w:before="21"/>
        <w:rPr>
          <w:rFonts w:ascii="Cambria"/>
          <w:b/>
        </w:rPr>
      </w:pPr>
    </w:p>
    <w:p w14:paraId="3AA18E2E" w14:textId="77777777" w:rsidR="00310D9F" w:rsidRDefault="00000000">
      <w:pPr>
        <w:pStyle w:val="Corpsdetexte"/>
        <w:ind w:left="3" w:right="159"/>
        <w:jc w:val="both"/>
      </w:pPr>
      <w:r>
        <w:t>Le risque de confusion s'entend du risque que le public puisse croire que les produits ou les services en cause proviennent de la même entreprise ou, le cas échéant, d’entreprises liées économiquement ; le risque de confusion comprend le risque d’association.</w:t>
      </w:r>
    </w:p>
    <w:p w14:paraId="62D84B2F" w14:textId="77777777" w:rsidR="00310D9F" w:rsidRDefault="00310D9F">
      <w:pPr>
        <w:pStyle w:val="Corpsdetexte"/>
        <w:jc w:val="both"/>
        <w:sectPr w:rsidR="00310D9F">
          <w:headerReference w:type="default" r:id="rId9"/>
          <w:footerReference w:type="default" r:id="rId10"/>
          <w:pgSz w:w="11910" w:h="16840"/>
          <w:pgMar w:top="1180" w:right="1275" w:bottom="540" w:left="1417" w:header="720" w:footer="347" w:gutter="0"/>
          <w:pgNumType w:start="2"/>
          <w:cols w:space="720"/>
        </w:sectPr>
      </w:pPr>
    </w:p>
    <w:p w14:paraId="1EC92710" w14:textId="77777777" w:rsidR="00310D9F" w:rsidRDefault="00310D9F">
      <w:pPr>
        <w:pStyle w:val="Corpsdetexte"/>
      </w:pPr>
    </w:p>
    <w:p w14:paraId="25EC5440" w14:textId="77777777" w:rsidR="00310D9F" w:rsidRDefault="00310D9F">
      <w:pPr>
        <w:pStyle w:val="Corpsdetexte"/>
        <w:spacing w:before="228"/>
      </w:pPr>
    </w:p>
    <w:p w14:paraId="7668E101" w14:textId="77777777" w:rsidR="00310D9F" w:rsidRDefault="00000000">
      <w:pPr>
        <w:pStyle w:val="Corpsdetexte"/>
        <w:ind w:left="3" w:right="153"/>
        <w:jc w:val="both"/>
      </w:pPr>
      <w:r>
        <w:t>L’existence d’un risque de confusion doit être appréciée globalement en tenant compte de nombreux facteurs qui incluent la similitude des signes, la similarité des produits et services, le caractère distinctif de la marque antérieure, les éléments distinctifs et dominants des signes en litige et le public pertinent.</w:t>
      </w:r>
    </w:p>
    <w:p w14:paraId="308CE7B0" w14:textId="77777777" w:rsidR="00310D9F" w:rsidRDefault="00310D9F">
      <w:pPr>
        <w:pStyle w:val="Corpsdetexte"/>
      </w:pPr>
    </w:p>
    <w:p w14:paraId="28A11C63" w14:textId="77777777" w:rsidR="00310D9F" w:rsidRDefault="00310D9F">
      <w:pPr>
        <w:pStyle w:val="Corpsdetexte"/>
        <w:spacing w:before="126"/>
      </w:pPr>
    </w:p>
    <w:p w14:paraId="47CAC673" w14:textId="77777777" w:rsidR="00310D9F" w:rsidRDefault="00000000">
      <w:pPr>
        <w:pStyle w:val="Titre2"/>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produits</w:t>
      </w:r>
    </w:p>
    <w:p w14:paraId="492C045E" w14:textId="77777777" w:rsidR="00310D9F" w:rsidRDefault="00310D9F">
      <w:pPr>
        <w:pStyle w:val="Corpsdetexte"/>
        <w:spacing w:before="75"/>
        <w:rPr>
          <w:rFonts w:ascii="Cambria"/>
          <w:b/>
        </w:rPr>
      </w:pPr>
    </w:p>
    <w:p w14:paraId="38B054C7" w14:textId="77777777" w:rsidR="00310D9F" w:rsidRDefault="00000000">
      <w:pPr>
        <w:pStyle w:val="Corpsdetexte"/>
        <w:ind w:left="3" w:right="142"/>
        <w:jc w:val="both"/>
      </w:pPr>
      <w:r>
        <w:t>Pour</w:t>
      </w:r>
      <w:r>
        <w:rPr>
          <w:spacing w:val="-1"/>
        </w:rPr>
        <w:t xml:space="preserve"> </w:t>
      </w:r>
      <w:r>
        <w:t>apprécier la similarité entre les produits et</w:t>
      </w:r>
      <w:r>
        <w:rPr>
          <w:spacing w:val="-1"/>
        </w:rPr>
        <w:t xml:space="preserve"> </w:t>
      </w:r>
      <w:r>
        <w:t>services, il</w:t>
      </w:r>
      <w:r>
        <w:rPr>
          <w:spacing w:val="-1"/>
        </w:rPr>
        <w:t xml:space="preserve"> </w:t>
      </w:r>
      <w:r>
        <w:t>y</w:t>
      </w:r>
      <w:r>
        <w:rPr>
          <w:spacing w:val="-1"/>
        </w:rPr>
        <w:t xml:space="preserve"> </w:t>
      </w:r>
      <w:r>
        <w:t>a</w:t>
      </w:r>
      <w:r>
        <w:rPr>
          <w:spacing w:val="-1"/>
        </w:rPr>
        <w:t xml:space="preserve"> </w:t>
      </w:r>
      <w:r>
        <w:t>lieu de tenir compte de</w:t>
      </w:r>
      <w:r>
        <w:rPr>
          <w:spacing w:val="-1"/>
        </w:rPr>
        <w:t xml:space="preserve"> </w:t>
      </w:r>
      <w:r>
        <w:t>tous 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5FB12CD5" w14:textId="77777777" w:rsidR="00310D9F" w:rsidRDefault="00310D9F">
      <w:pPr>
        <w:pStyle w:val="Corpsdetexte"/>
      </w:pPr>
    </w:p>
    <w:p w14:paraId="2B11DFB7" w14:textId="77777777" w:rsidR="00310D9F" w:rsidRDefault="00000000">
      <w:pPr>
        <w:ind w:left="3" w:right="144"/>
        <w:jc w:val="both"/>
        <w:rPr>
          <w:i/>
          <w:sz w:val="24"/>
        </w:rPr>
      </w:pPr>
      <w:r>
        <w:rPr>
          <w:sz w:val="24"/>
        </w:rPr>
        <w:t xml:space="preserve">L'opposition est formée contre les produits suivants : </w:t>
      </w:r>
      <w:r>
        <w:rPr>
          <w:i/>
          <w:sz w:val="24"/>
        </w:rPr>
        <w:t>«</w:t>
      </w:r>
      <w:r>
        <w:rPr>
          <w:i/>
          <w:spacing w:val="-2"/>
          <w:sz w:val="24"/>
        </w:rPr>
        <w:t xml:space="preserve"> </w:t>
      </w:r>
      <w:r>
        <w:rPr>
          <w:i/>
          <w:sz w:val="24"/>
        </w:rPr>
        <w:t>Joaillerie ; bijouterie ; pierres précieuses</w:t>
      </w:r>
      <w:r>
        <w:rPr>
          <w:i/>
          <w:spacing w:val="-1"/>
          <w:sz w:val="24"/>
        </w:rPr>
        <w:t xml:space="preserve"> </w:t>
      </w:r>
      <w:r>
        <w:rPr>
          <w:i/>
          <w:sz w:val="24"/>
        </w:rPr>
        <w:t>; horlogerie et instruments chronométriques ; métaux précieux et leurs alliages ; objets d'art en métaux précieux ; coffrets à bijoux ; boîtes en métaux précieux ; boîtiers de montres ;</w:t>
      </w:r>
      <w:r>
        <w:rPr>
          <w:i/>
          <w:spacing w:val="-1"/>
          <w:sz w:val="24"/>
        </w:rPr>
        <w:t xml:space="preserve"> </w:t>
      </w:r>
      <w:r>
        <w:rPr>
          <w:i/>
          <w:sz w:val="24"/>
        </w:rPr>
        <w:t>bracelets de</w:t>
      </w:r>
      <w:r>
        <w:rPr>
          <w:i/>
          <w:spacing w:val="-1"/>
          <w:sz w:val="24"/>
        </w:rPr>
        <w:t xml:space="preserve"> </w:t>
      </w:r>
      <w:r>
        <w:rPr>
          <w:i/>
          <w:sz w:val="24"/>
        </w:rPr>
        <w:t>montres ;</w:t>
      </w:r>
      <w:r>
        <w:rPr>
          <w:i/>
          <w:spacing w:val="-1"/>
          <w:sz w:val="24"/>
        </w:rPr>
        <w:t xml:space="preserve"> </w:t>
      </w:r>
      <w:r>
        <w:rPr>
          <w:i/>
          <w:sz w:val="24"/>
        </w:rPr>
        <w:t>chaînes de</w:t>
      </w:r>
      <w:r>
        <w:rPr>
          <w:i/>
          <w:spacing w:val="-1"/>
          <w:sz w:val="24"/>
        </w:rPr>
        <w:t xml:space="preserve"> </w:t>
      </w:r>
      <w:r>
        <w:rPr>
          <w:i/>
          <w:sz w:val="24"/>
        </w:rPr>
        <w:t>montres ;</w:t>
      </w:r>
      <w:r>
        <w:rPr>
          <w:i/>
          <w:spacing w:val="-1"/>
          <w:sz w:val="24"/>
        </w:rPr>
        <w:t xml:space="preserve"> </w:t>
      </w:r>
      <w:r>
        <w:rPr>
          <w:i/>
          <w:sz w:val="24"/>
        </w:rPr>
        <w:t>ressorts de</w:t>
      </w:r>
      <w:r>
        <w:rPr>
          <w:i/>
          <w:spacing w:val="-1"/>
          <w:sz w:val="24"/>
        </w:rPr>
        <w:t xml:space="preserve"> </w:t>
      </w:r>
      <w:r>
        <w:rPr>
          <w:i/>
          <w:sz w:val="24"/>
        </w:rPr>
        <w:t>montres ;</w:t>
      </w:r>
      <w:r>
        <w:rPr>
          <w:i/>
          <w:spacing w:val="-1"/>
          <w:sz w:val="24"/>
        </w:rPr>
        <w:t xml:space="preserve"> </w:t>
      </w:r>
      <w:r>
        <w:rPr>
          <w:i/>
          <w:sz w:val="24"/>
        </w:rPr>
        <w:t>verres de montres</w:t>
      </w:r>
    </w:p>
    <w:p w14:paraId="67C03E61" w14:textId="77777777" w:rsidR="00310D9F" w:rsidRDefault="00000000">
      <w:pPr>
        <w:spacing w:before="1"/>
        <w:ind w:left="3" w:right="147"/>
        <w:jc w:val="both"/>
        <w:rPr>
          <w:i/>
          <w:sz w:val="24"/>
        </w:rPr>
      </w:pPr>
      <w:r>
        <w:rPr>
          <w:i/>
          <w:sz w:val="24"/>
        </w:rPr>
        <w:t>; porte-clés (anneaux brisés avec breloque ou colifichet) ; statues en métaux précieux ; figurines (statuettes) en métaux précieux ; étuis pour l'horlogerie ; écrins pour l'horlogerie ; médailles ; Tissus ; couvertures de lit ; tissus à usage textile ; tissus élastiques ; velours ; linge de lit ; linge de maison ; linge de table non en papier ; linge de bain à l'exception de l'habillement ; sacs de couchage ; Vêtements ; articles chaussants ; chapellerie ; chemises ; vêtements en cuir ; ceintures (habillement) ; fourrures (vêtements) ; gants (habillement) ; foulards ; cravates ; bonneterie ; chaussettes ; chaussons ; chaussures de plage ; chaussures de sport ; sous-vêtements ».</w:t>
      </w:r>
    </w:p>
    <w:p w14:paraId="5525F357" w14:textId="77777777" w:rsidR="00310D9F" w:rsidRDefault="00310D9F">
      <w:pPr>
        <w:pStyle w:val="Corpsdetexte"/>
        <w:rPr>
          <w:i/>
        </w:rPr>
      </w:pPr>
    </w:p>
    <w:p w14:paraId="2BF54439" w14:textId="77777777" w:rsidR="00310D9F" w:rsidRDefault="00000000">
      <w:pPr>
        <w:ind w:left="3" w:right="137"/>
        <w:jc w:val="both"/>
        <w:rPr>
          <w:i/>
          <w:sz w:val="24"/>
        </w:rPr>
      </w:pPr>
      <w:r>
        <w:rPr>
          <w:sz w:val="24"/>
        </w:rPr>
        <w:t xml:space="preserve">La marque antérieure a été enregistrée notamment pour les produits suivants : </w:t>
      </w:r>
      <w:r>
        <w:rPr>
          <w:i/>
          <w:sz w:val="24"/>
        </w:rPr>
        <w:t>«</w:t>
      </w:r>
      <w:r>
        <w:rPr>
          <w:i/>
          <w:spacing w:val="-2"/>
          <w:sz w:val="24"/>
        </w:rPr>
        <w:t xml:space="preserve"> </w:t>
      </w:r>
      <w:r>
        <w:rPr>
          <w:i/>
          <w:sz w:val="24"/>
        </w:rPr>
        <w:t>Métaux précieux et leurs alliages et produits en ces matières ou en plaqué non compris dans d'autres classes, joaillerie, bijouterie, pierres précieuses, horlogerie et instruments chronométriques ; Tissus et produits textiles non compris dans d'autres classes, couvertures de lit et de table ; Vêtements, chaussures, chapellerie ».</w:t>
      </w:r>
    </w:p>
    <w:p w14:paraId="7B46FC98" w14:textId="77777777" w:rsidR="00310D9F" w:rsidRDefault="00310D9F">
      <w:pPr>
        <w:pStyle w:val="Corpsdetexte"/>
        <w:rPr>
          <w:i/>
        </w:rPr>
      </w:pPr>
    </w:p>
    <w:p w14:paraId="6D5554C4" w14:textId="77777777" w:rsidR="00310D9F" w:rsidRDefault="00000000">
      <w:pPr>
        <w:pStyle w:val="Corpsdetexte"/>
        <w:ind w:left="3" w:right="155"/>
        <w:jc w:val="both"/>
      </w:pPr>
      <w:r>
        <w:t>La société opposante soutient que les produits de la demande d'enregistrement contestée</w:t>
      </w:r>
      <w:r>
        <w:rPr>
          <w:spacing w:val="40"/>
        </w:rPr>
        <w:t xml:space="preserve"> </w:t>
      </w:r>
      <w:r>
        <w:t xml:space="preserve">objets de l’opposition sont identiques ou similaires aux produits invoqués de la marque </w:t>
      </w:r>
      <w:r>
        <w:rPr>
          <w:spacing w:val="-2"/>
        </w:rPr>
        <w:t>antérieure.</w:t>
      </w:r>
    </w:p>
    <w:p w14:paraId="7DA1E5A6" w14:textId="77777777" w:rsidR="00310D9F" w:rsidRDefault="00310D9F">
      <w:pPr>
        <w:pStyle w:val="Corpsdetexte"/>
      </w:pPr>
    </w:p>
    <w:p w14:paraId="46F41AA6" w14:textId="77777777" w:rsidR="00310D9F" w:rsidRDefault="00000000">
      <w:pPr>
        <w:pStyle w:val="Corpsdetexte"/>
        <w:ind w:left="3" w:right="148"/>
        <w:jc w:val="both"/>
      </w:pPr>
      <w:r>
        <w:t>En l’espèce, il est expressément renvoyé aux arguments développés par l’opposant que l’Institut fait siens.</w:t>
      </w:r>
    </w:p>
    <w:p w14:paraId="1DAF2A33" w14:textId="77777777" w:rsidR="00310D9F" w:rsidRDefault="00310D9F">
      <w:pPr>
        <w:pStyle w:val="Corpsdetexte"/>
      </w:pPr>
    </w:p>
    <w:p w14:paraId="63F29C79" w14:textId="77777777" w:rsidR="00310D9F" w:rsidRDefault="00000000">
      <w:pPr>
        <w:ind w:left="3" w:right="143"/>
        <w:jc w:val="both"/>
        <w:rPr>
          <w:sz w:val="24"/>
        </w:rPr>
      </w:pPr>
      <w:r>
        <w:rPr>
          <w:sz w:val="24"/>
        </w:rPr>
        <w:t xml:space="preserve">A cet égard, le seul fait invoqué la déposante selon lequel « </w:t>
      </w:r>
      <w:r>
        <w:rPr>
          <w:i/>
          <w:sz w:val="24"/>
        </w:rPr>
        <w:t xml:space="preserve">…l’activité de la Société PERLE DU MARAIS porte sur le commerce de fourniture et accessoires de bijoux fantaisie (pièce 2) loin du luxe des bijoux commercialisés par la maison CHANEL… </w:t>
      </w:r>
      <w:r>
        <w:rPr>
          <w:sz w:val="24"/>
        </w:rPr>
        <w:t>» ne saurait être pris en en considération dans le cadre de la présente procédure, dès lors que la comparaison des produits s'effectue uniquement en fonction des produits tels que désignés dans les libellés en présence, indépendamment de leurs conditions d'exploitation réelles ou supposées.</w:t>
      </w:r>
    </w:p>
    <w:p w14:paraId="6D69C5C4" w14:textId="77777777" w:rsidR="00310D9F" w:rsidRDefault="00310D9F">
      <w:pPr>
        <w:jc w:val="both"/>
        <w:rPr>
          <w:sz w:val="24"/>
        </w:rPr>
        <w:sectPr w:rsidR="00310D9F">
          <w:pgSz w:w="11910" w:h="16840"/>
          <w:pgMar w:top="1180" w:right="1275" w:bottom="540" w:left="1417" w:header="720" w:footer="347" w:gutter="0"/>
          <w:cols w:space="720"/>
        </w:sectPr>
      </w:pPr>
    </w:p>
    <w:p w14:paraId="0DD4DB0E" w14:textId="77777777" w:rsidR="00310D9F" w:rsidRDefault="00310D9F">
      <w:pPr>
        <w:pStyle w:val="Corpsdetexte"/>
        <w:spacing w:before="228"/>
      </w:pPr>
    </w:p>
    <w:p w14:paraId="39E45C76" w14:textId="77777777" w:rsidR="00310D9F" w:rsidRDefault="00000000">
      <w:pPr>
        <w:pStyle w:val="Corpsdetexte"/>
        <w:ind w:left="3" w:right="154"/>
        <w:jc w:val="both"/>
      </w:pPr>
      <w:r>
        <w:t>Par ailleurs, l’indication par le titulaire de la demande d’enregistrement selon laquelle il était disposé à limiter les produits de sa demande en retirant du libellé les classes 24 et 25 ne saurait prospérer dans la mesure où, en l'absence d'une déclaration de retrait formelle de sa part, cette limitation ne peut être prise en considération.</w:t>
      </w:r>
    </w:p>
    <w:p w14:paraId="08BBF370" w14:textId="77777777" w:rsidR="00310D9F" w:rsidRDefault="00310D9F">
      <w:pPr>
        <w:pStyle w:val="Corpsdetexte"/>
      </w:pPr>
    </w:p>
    <w:p w14:paraId="2D76B7A0" w14:textId="77777777" w:rsidR="00310D9F" w:rsidRDefault="00000000">
      <w:pPr>
        <w:pStyle w:val="Corpsdetexte"/>
        <w:ind w:left="3" w:right="156"/>
        <w:jc w:val="both"/>
      </w:pPr>
      <w:r>
        <w:t>Ainsi, les produits précités de la demande d’enregistrement contestée apparaissent identiques ou à tout le moins similaires aux produits de la marque antérieure.</w:t>
      </w:r>
    </w:p>
    <w:p w14:paraId="3E6F47D9" w14:textId="77777777" w:rsidR="00310D9F" w:rsidRDefault="00310D9F">
      <w:pPr>
        <w:pStyle w:val="Corpsdetexte"/>
      </w:pPr>
    </w:p>
    <w:p w14:paraId="4E2417B0" w14:textId="77777777" w:rsidR="00310D9F" w:rsidRDefault="00310D9F">
      <w:pPr>
        <w:pStyle w:val="Corpsdetexte"/>
      </w:pPr>
    </w:p>
    <w:p w14:paraId="59AD9C31" w14:textId="77777777" w:rsidR="00310D9F" w:rsidRDefault="00310D9F">
      <w:pPr>
        <w:pStyle w:val="Corpsdetexte"/>
      </w:pPr>
    </w:p>
    <w:p w14:paraId="744DFB29" w14:textId="77777777" w:rsidR="00310D9F" w:rsidRDefault="00310D9F">
      <w:pPr>
        <w:pStyle w:val="Corpsdetexte"/>
        <w:spacing w:before="20"/>
      </w:pPr>
    </w:p>
    <w:p w14:paraId="6EA93B4B" w14:textId="77777777" w:rsidR="00310D9F" w:rsidRDefault="00000000">
      <w:pPr>
        <w:pStyle w:val="Titre2"/>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6D549F8F" w14:textId="77777777" w:rsidR="00310D9F" w:rsidRDefault="00310D9F">
      <w:pPr>
        <w:pStyle w:val="Corpsdetexte"/>
        <w:spacing w:before="75"/>
        <w:rPr>
          <w:rFonts w:ascii="Cambria"/>
          <w:b/>
        </w:rPr>
      </w:pPr>
    </w:p>
    <w:p w14:paraId="627A1FC4" w14:textId="77777777" w:rsidR="00310D9F" w:rsidRDefault="00000000">
      <w:pPr>
        <w:pStyle w:val="Corpsdetexte"/>
        <w:ind w:left="3" w:right="147"/>
        <w:jc w:val="both"/>
      </w:pPr>
      <w:r>
        <w:t>La demande d’enregistrement porte sur le signe verbal COCOPINK BIJOUX ci-dessous reproduit :</w:t>
      </w:r>
    </w:p>
    <w:p w14:paraId="022194EC" w14:textId="77777777" w:rsidR="00310D9F" w:rsidRDefault="00000000">
      <w:pPr>
        <w:pStyle w:val="Corpsdetexte"/>
        <w:spacing w:before="35"/>
        <w:rPr>
          <w:sz w:val="20"/>
        </w:rPr>
      </w:pPr>
      <w:r>
        <w:rPr>
          <w:noProof/>
          <w:sz w:val="20"/>
        </w:rPr>
        <w:drawing>
          <wp:anchor distT="0" distB="0" distL="0" distR="0" simplePos="0" relativeHeight="487588352" behindDoc="1" locked="0" layoutInCell="1" allowOverlap="1" wp14:anchorId="4E34B684" wp14:editId="574AD213">
            <wp:simplePos x="0" y="0"/>
            <wp:positionH relativeFrom="page">
              <wp:posOffset>2223135</wp:posOffset>
            </wp:positionH>
            <wp:positionV relativeFrom="paragraph">
              <wp:posOffset>184031</wp:posOffset>
            </wp:positionV>
            <wp:extent cx="3114675" cy="20002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114675" cy="200025"/>
                    </a:xfrm>
                    <a:prstGeom prst="rect">
                      <a:avLst/>
                    </a:prstGeom>
                  </pic:spPr>
                </pic:pic>
              </a:graphicData>
            </a:graphic>
          </wp:anchor>
        </w:drawing>
      </w:r>
    </w:p>
    <w:p w14:paraId="5D5AD8BB" w14:textId="77777777" w:rsidR="00310D9F" w:rsidRDefault="00310D9F">
      <w:pPr>
        <w:pStyle w:val="Corpsdetexte"/>
      </w:pPr>
    </w:p>
    <w:p w14:paraId="01396438" w14:textId="77777777" w:rsidR="00310D9F" w:rsidRDefault="00310D9F">
      <w:pPr>
        <w:pStyle w:val="Corpsdetexte"/>
        <w:spacing w:before="1"/>
      </w:pPr>
    </w:p>
    <w:p w14:paraId="11C65A24" w14:textId="77777777" w:rsidR="00310D9F" w:rsidRDefault="00000000">
      <w:pPr>
        <w:pStyle w:val="Corpsdetexte"/>
        <w:spacing w:before="1"/>
        <w:ind w:left="3"/>
        <w:jc w:val="both"/>
      </w:pPr>
      <w:r>
        <w:t>La</w:t>
      </w:r>
      <w:r>
        <w:rPr>
          <w:spacing w:val="-6"/>
        </w:rPr>
        <w:t xml:space="preserve"> </w:t>
      </w:r>
      <w:r>
        <w:t>marque</w:t>
      </w:r>
      <w:r>
        <w:rPr>
          <w:spacing w:val="-3"/>
        </w:rPr>
        <w:t xml:space="preserve"> </w:t>
      </w:r>
      <w:r>
        <w:t>antérieure</w:t>
      </w:r>
      <w:r>
        <w:rPr>
          <w:spacing w:val="-3"/>
        </w:rPr>
        <w:t xml:space="preserve"> </w:t>
      </w:r>
      <w:r>
        <w:t>porte</w:t>
      </w:r>
      <w:r>
        <w:rPr>
          <w:spacing w:val="-3"/>
        </w:rPr>
        <w:t xml:space="preserve"> </w:t>
      </w:r>
      <w:r>
        <w:t>sur</w:t>
      </w:r>
      <w:r>
        <w:rPr>
          <w:spacing w:val="-4"/>
        </w:rPr>
        <w:t xml:space="preserve"> </w:t>
      </w:r>
      <w:r>
        <w:t>le</w:t>
      </w:r>
      <w:r>
        <w:rPr>
          <w:spacing w:val="-5"/>
        </w:rPr>
        <w:t xml:space="preserve"> </w:t>
      </w:r>
      <w:r>
        <w:t>signe</w:t>
      </w:r>
      <w:r>
        <w:rPr>
          <w:spacing w:val="-5"/>
        </w:rPr>
        <w:t xml:space="preserve"> </w:t>
      </w:r>
      <w:r>
        <w:t>verbal</w:t>
      </w:r>
      <w:r>
        <w:rPr>
          <w:spacing w:val="-3"/>
        </w:rPr>
        <w:t xml:space="preserve"> </w:t>
      </w:r>
      <w:r>
        <w:t>COCO</w:t>
      </w:r>
      <w:r>
        <w:rPr>
          <w:spacing w:val="-9"/>
        </w:rPr>
        <w:t xml:space="preserve"> </w:t>
      </w:r>
      <w:r>
        <w:t>ci-dessous</w:t>
      </w:r>
      <w:r>
        <w:rPr>
          <w:spacing w:val="-4"/>
        </w:rPr>
        <w:t xml:space="preserve"> </w:t>
      </w:r>
      <w:r>
        <w:t>reproduit</w:t>
      </w:r>
      <w:r>
        <w:rPr>
          <w:spacing w:val="-3"/>
        </w:rPr>
        <w:t xml:space="preserve"> </w:t>
      </w:r>
      <w:r>
        <w:rPr>
          <w:spacing w:val="-10"/>
        </w:rPr>
        <w:t>:</w:t>
      </w:r>
    </w:p>
    <w:p w14:paraId="017CC77D" w14:textId="77777777" w:rsidR="00310D9F" w:rsidRDefault="00000000">
      <w:pPr>
        <w:pStyle w:val="Corpsdetexte"/>
        <w:spacing w:before="95"/>
        <w:rPr>
          <w:sz w:val="20"/>
        </w:rPr>
      </w:pPr>
      <w:r>
        <w:rPr>
          <w:noProof/>
          <w:sz w:val="20"/>
        </w:rPr>
        <w:drawing>
          <wp:anchor distT="0" distB="0" distL="0" distR="0" simplePos="0" relativeHeight="487588864" behindDoc="1" locked="0" layoutInCell="1" allowOverlap="1" wp14:anchorId="6C6A00DC" wp14:editId="39AFEF95">
            <wp:simplePos x="0" y="0"/>
            <wp:positionH relativeFrom="page">
              <wp:posOffset>3370579</wp:posOffset>
            </wp:positionH>
            <wp:positionV relativeFrom="paragraph">
              <wp:posOffset>221659</wp:posOffset>
            </wp:positionV>
            <wp:extent cx="819150" cy="20002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819150" cy="200025"/>
                    </a:xfrm>
                    <a:prstGeom prst="rect">
                      <a:avLst/>
                    </a:prstGeom>
                  </pic:spPr>
                </pic:pic>
              </a:graphicData>
            </a:graphic>
          </wp:anchor>
        </w:drawing>
      </w:r>
    </w:p>
    <w:p w14:paraId="2AFDAC10" w14:textId="77777777" w:rsidR="00310D9F" w:rsidRDefault="00310D9F">
      <w:pPr>
        <w:pStyle w:val="Corpsdetexte"/>
        <w:spacing w:before="75"/>
      </w:pPr>
    </w:p>
    <w:p w14:paraId="60BEB2FF" w14:textId="77777777" w:rsidR="00310D9F" w:rsidRDefault="00000000">
      <w:pPr>
        <w:pStyle w:val="Corpsdetexte"/>
        <w:spacing w:before="1"/>
        <w:ind w:left="3"/>
        <w:jc w:val="both"/>
      </w:pPr>
      <w:r>
        <w:t>La</w:t>
      </w:r>
      <w:r>
        <w:rPr>
          <w:spacing w:val="-5"/>
        </w:rPr>
        <w:t xml:space="preserve"> </w:t>
      </w:r>
      <w:r>
        <w:t>société</w:t>
      </w:r>
      <w:r>
        <w:rPr>
          <w:spacing w:val="-2"/>
        </w:rPr>
        <w:t xml:space="preserve"> </w:t>
      </w:r>
      <w:r>
        <w:t>opposante</w:t>
      </w:r>
      <w:r>
        <w:rPr>
          <w:spacing w:val="-4"/>
        </w:rPr>
        <w:t xml:space="preserve"> </w:t>
      </w:r>
      <w:r>
        <w:t>soutient</w:t>
      </w:r>
      <w:r>
        <w:rPr>
          <w:spacing w:val="-3"/>
        </w:rPr>
        <w:t xml:space="preserve"> </w:t>
      </w:r>
      <w:r>
        <w:t>que</w:t>
      </w:r>
      <w:r>
        <w:rPr>
          <w:spacing w:val="-2"/>
        </w:rPr>
        <w:t xml:space="preserve"> </w:t>
      </w:r>
      <w:r>
        <w:t>les</w:t>
      </w:r>
      <w:r>
        <w:rPr>
          <w:spacing w:val="-3"/>
        </w:rPr>
        <w:t xml:space="preserve"> </w:t>
      </w:r>
      <w:r>
        <w:t>signes</w:t>
      </w:r>
      <w:r>
        <w:rPr>
          <w:spacing w:val="-4"/>
        </w:rPr>
        <w:t xml:space="preserve"> </w:t>
      </w:r>
      <w:r>
        <w:t>en</w:t>
      </w:r>
      <w:r>
        <w:rPr>
          <w:spacing w:val="-3"/>
        </w:rPr>
        <w:t xml:space="preserve"> </w:t>
      </w:r>
      <w:r>
        <w:t>cause</w:t>
      </w:r>
      <w:r>
        <w:rPr>
          <w:spacing w:val="-4"/>
        </w:rPr>
        <w:t xml:space="preserve"> </w:t>
      </w:r>
      <w:r>
        <w:t>sont</w:t>
      </w:r>
      <w:r>
        <w:rPr>
          <w:spacing w:val="-4"/>
        </w:rPr>
        <w:t xml:space="preserve"> </w:t>
      </w:r>
      <w:r>
        <w:rPr>
          <w:spacing w:val="-2"/>
        </w:rPr>
        <w:t>similaires.</w:t>
      </w:r>
    </w:p>
    <w:p w14:paraId="0EE5D1C8" w14:textId="77777777" w:rsidR="00310D9F" w:rsidRDefault="00310D9F">
      <w:pPr>
        <w:pStyle w:val="Corpsdetexte"/>
      </w:pPr>
    </w:p>
    <w:p w14:paraId="21ADA3C6" w14:textId="77777777" w:rsidR="00310D9F" w:rsidRDefault="00000000">
      <w:pPr>
        <w:pStyle w:val="Corpsdetexte"/>
        <w:ind w:left="3" w:right="152"/>
        <w:jc w:val="both"/>
      </w:pPr>
      <w:r>
        <w:t>L'appréciation globale doit, en</w:t>
      </w:r>
      <w:r>
        <w:rPr>
          <w:spacing w:val="-1"/>
        </w:rPr>
        <w:t xml:space="preserve"> </w:t>
      </w:r>
      <w:r>
        <w:t>ce qui</w:t>
      </w:r>
      <w:r>
        <w:rPr>
          <w:spacing w:val="-2"/>
        </w:rPr>
        <w:t xml:space="preserve"> </w:t>
      </w:r>
      <w:r>
        <w:t>concerne la similitude visuelle, auditive ou</w:t>
      </w:r>
      <w:r>
        <w:rPr>
          <w:spacing w:val="-1"/>
        </w:rPr>
        <w:t xml:space="preserve"> </w:t>
      </w:r>
      <w:r>
        <w:t>conceptuelle des marques en cause, être fondée sur l'impression d'ensemble produite par les marques, en tenant compte notamment de leurs éléments distinctifs et dominants.</w:t>
      </w:r>
    </w:p>
    <w:p w14:paraId="1D70ACA9" w14:textId="77777777" w:rsidR="00310D9F" w:rsidRDefault="00310D9F">
      <w:pPr>
        <w:pStyle w:val="Corpsdetexte"/>
      </w:pPr>
    </w:p>
    <w:p w14:paraId="069C9F0C" w14:textId="77777777" w:rsidR="00310D9F" w:rsidRDefault="00000000">
      <w:pPr>
        <w:pStyle w:val="Corpsdetexte"/>
        <w:ind w:left="3" w:right="149"/>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418E460F" w14:textId="77777777" w:rsidR="00310D9F" w:rsidRDefault="00310D9F">
      <w:pPr>
        <w:pStyle w:val="Corpsdetexte"/>
      </w:pPr>
    </w:p>
    <w:p w14:paraId="0A2277DB" w14:textId="77777777" w:rsidR="00310D9F" w:rsidRDefault="00000000">
      <w:pPr>
        <w:pStyle w:val="Corpsdetexte"/>
        <w:ind w:left="3" w:right="156"/>
        <w:jc w:val="both"/>
      </w:pPr>
      <w:r>
        <w:t>Il résulte</w:t>
      </w:r>
      <w:r>
        <w:rPr>
          <w:spacing w:val="-1"/>
        </w:rPr>
        <w:t xml:space="preserve"> </w:t>
      </w:r>
      <w:r>
        <w:t>d’une comparaison globale et objective des signes que</w:t>
      </w:r>
      <w:r>
        <w:rPr>
          <w:spacing w:val="-1"/>
        </w:rPr>
        <w:t xml:space="preserve"> </w:t>
      </w:r>
      <w:r>
        <w:t>le signe</w:t>
      </w:r>
      <w:r>
        <w:rPr>
          <w:spacing w:val="-1"/>
        </w:rPr>
        <w:t xml:space="preserve"> </w:t>
      </w:r>
      <w:r>
        <w:t>contesté est composé de deux éléments verbaux ; la marque antérieure est constituée d’une dénomination unique.</w:t>
      </w:r>
    </w:p>
    <w:p w14:paraId="675CCE32" w14:textId="77777777" w:rsidR="00310D9F" w:rsidRDefault="00310D9F">
      <w:pPr>
        <w:pStyle w:val="Corpsdetexte"/>
      </w:pPr>
    </w:p>
    <w:p w14:paraId="6E5F327F" w14:textId="77777777" w:rsidR="00310D9F" w:rsidRDefault="00000000">
      <w:pPr>
        <w:pStyle w:val="Corpsdetexte"/>
        <w:ind w:left="3" w:right="153"/>
        <w:jc w:val="both"/>
      </w:pPr>
      <w:r>
        <w:t>Les signes ont en commun la séquence COCO, positionnée en attaque au sein du signe contesté et constitutive de la marque antérieure, ce qui leur confère des ressemblances visuelles, phonétiques et intellectuelles prépondérantes.</w:t>
      </w:r>
    </w:p>
    <w:p w14:paraId="55212646" w14:textId="77777777" w:rsidR="00310D9F" w:rsidRDefault="00310D9F">
      <w:pPr>
        <w:pStyle w:val="Corpsdetexte"/>
      </w:pPr>
    </w:p>
    <w:p w14:paraId="73C63A3F" w14:textId="77777777" w:rsidR="00310D9F" w:rsidRDefault="00000000">
      <w:pPr>
        <w:pStyle w:val="Corpsdetexte"/>
        <w:ind w:left="3" w:right="159"/>
        <w:jc w:val="both"/>
      </w:pPr>
      <w:r>
        <w:t>La demande d’enregistrement diffère de la marque antérieure par la présence des termes</w:t>
      </w:r>
      <w:r>
        <w:rPr>
          <w:spacing w:val="40"/>
        </w:rPr>
        <w:t xml:space="preserve"> </w:t>
      </w:r>
      <w:r>
        <w:t>PINK et BIJOUX.</w:t>
      </w:r>
    </w:p>
    <w:p w14:paraId="16B57588" w14:textId="77777777" w:rsidR="00310D9F" w:rsidRDefault="00310D9F">
      <w:pPr>
        <w:pStyle w:val="Corpsdetexte"/>
      </w:pPr>
    </w:p>
    <w:p w14:paraId="4A6A9296" w14:textId="77777777" w:rsidR="00310D9F" w:rsidRDefault="00000000">
      <w:pPr>
        <w:pStyle w:val="Corpsdetexte"/>
        <w:ind w:left="3" w:right="153"/>
        <w:jc w:val="both"/>
      </w:pPr>
      <w:r>
        <w:t xml:space="preserve">Toutefois, la prise en compte des éléments distinctifs et dominants conduit à tempérer ces </w:t>
      </w:r>
      <w:r>
        <w:rPr>
          <w:spacing w:val="-2"/>
        </w:rPr>
        <w:t>différences.</w:t>
      </w:r>
    </w:p>
    <w:p w14:paraId="75865676" w14:textId="77777777" w:rsidR="00310D9F" w:rsidRDefault="00310D9F">
      <w:pPr>
        <w:pStyle w:val="Corpsdetexte"/>
        <w:jc w:val="both"/>
        <w:sectPr w:rsidR="00310D9F">
          <w:pgSz w:w="11910" w:h="16840"/>
          <w:pgMar w:top="1180" w:right="1275" w:bottom="540" w:left="1417" w:header="720" w:footer="347" w:gutter="0"/>
          <w:cols w:space="720"/>
        </w:sectPr>
      </w:pPr>
    </w:p>
    <w:p w14:paraId="3DAFE221" w14:textId="77777777" w:rsidR="00310D9F" w:rsidRDefault="00310D9F">
      <w:pPr>
        <w:pStyle w:val="Corpsdetexte"/>
        <w:spacing w:before="228"/>
      </w:pPr>
    </w:p>
    <w:p w14:paraId="1F82F02B" w14:textId="77777777" w:rsidR="00310D9F" w:rsidRDefault="00000000">
      <w:pPr>
        <w:pStyle w:val="Corpsdetexte"/>
        <w:ind w:left="3" w:right="152"/>
        <w:jc w:val="both"/>
      </w:pPr>
      <w:r>
        <w:t>En effet, la séquence COCO, positionnée en attaque au sein du signe contesté et constitutive de la</w:t>
      </w:r>
      <w:r>
        <w:rPr>
          <w:spacing w:val="-1"/>
        </w:rPr>
        <w:t xml:space="preserve"> </w:t>
      </w:r>
      <w:r>
        <w:t>marque antérieure, et dont</w:t>
      </w:r>
      <w:r>
        <w:rPr>
          <w:spacing w:val="-1"/>
        </w:rPr>
        <w:t xml:space="preserve"> </w:t>
      </w:r>
      <w:r>
        <w:t>le caractère distinctif n’est</w:t>
      </w:r>
      <w:r>
        <w:rPr>
          <w:spacing w:val="-1"/>
        </w:rPr>
        <w:t xml:space="preserve"> </w:t>
      </w:r>
      <w:r>
        <w:t>pas contesté, présente un caractère dominant au sein du signe contesté contrairement à ce que soutient la société déposante, compte tenu de sa position d’attaque et dès lors que les termes PINK, compris du consommateur français comme étant la traduction anglaise de la couleur rose (désignant ainsi la</w:t>
      </w:r>
      <w:r>
        <w:rPr>
          <w:spacing w:val="-1"/>
        </w:rPr>
        <w:t xml:space="preserve"> </w:t>
      </w:r>
      <w:r>
        <w:t>couleur des</w:t>
      </w:r>
      <w:r>
        <w:rPr>
          <w:spacing w:val="-1"/>
        </w:rPr>
        <w:t xml:space="preserve"> </w:t>
      </w:r>
      <w:r>
        <w:t>produits),</w:t>
      </w:r>
      <w:r>
        <w:rPr>
          <w:spacing w:val="-2"/>
        </w:rPr>
        <w:t xml:space="preserve"> </w:t>
      </w:r>
      <w:r>
        <w:t>et</w:t>
      </w:r>
      <w:r>
        <w:rPr>
          <w:spacing w:val="-1"/>
        </w:rPr>
        <w:t xml:space="preserve"> </w:t>
      </w:r>
      <w:r>
        <w:t>BIJOUX</w:t>
      </w:r>
      <w:r>
        <w:rPr>
          <w:spacing w:val="-1"/>
        </w:rPr>
        <w:t xml:space="preserve"> </w:t>
      </w:r>
      <w:r>
        <w:t>apparaissent dépourvus</w:t>
      </w:r>
      <w:r>
        <w:rPr>
          <w:spacing w:val="-1"/>
        </w:rPr>
        <w:t xml:space="preserve"> </w:t>
      </w:r>
      <w:r>
        <w:t>de</w:t>
      </w:r>
      <w:r>
        <w:rPr>
          <w:spacing w:val="-2"/>
        </w:rPr>
        <w:t xml:space="preserve"> </w:t>
      </w:r>
      <w:r>
        <w:t>caractère distinctif ou</w:t>
      </w:r>
      <w:r>
        <w:rPr>
          <w:spacing w:val="-2"/>
        </w:rPr>
        <w:t xml:space="preserve"> </w:t>
      </w:r>
      <w:r>
        <w:t>à</w:t>
      </w:r>
      <w:r>
        <w:rPr>
          <w:spacing w:val="-2"/>
        </w:rPr>
        <w:t xml:space="preserve"> </w:t>
      </w:r>
      <w:r>
        <w:t>tout</w:t>
      </w:r>
      <w:r>
        <w:rPr>
          <w:spacing w:val="-1"/>
        </w:rPr>
        <w:t xml:space="preserve"> </w:t>
      </w:r>
      <w:r>
        <w:t>le moins faiblement distinctifs au regard des produits en cause.</w:t>
      </w:r>
    </w:p>
    <w:p w14:paraId="7D4475D6" w14:textId="77777777" w:rsidR="00310D9F" w:rsidRDefault="00310D9F">
      <w:pPr>
        <w:pStyle w:val="Corpsdetexte"/>
      </w:pPr>
    </w:p>
    <w:p w14:paraId="4669993D" w14:textId="77777777" w:rsidR="00310D9F" w:rsidRDefault="00000000">
      <w:pPr>
        <w:pStyle w:val="Corpsdetexte"/>
        <w:ind w:left="3"/>
        <w:jc w:val="both"/>
      </w:pPr>
      <w:r>
        <w:t>Dès</w:t>
      </w:r>
      <w:r>
        <w:rPr>
          <w:spacing w:val="-6"/>
        </w:rPr>
        <w:t xml:space="preserve"> </w:t>
      </w:r>
      <w:r>
        <w:t>lors,</w:t>
      </w:r>
      <w:r>
        <w:rPr>
          <w:spacing w:val="-3"/>
        </w:rPr>
        <w:t xml:space="preserve"> </w:t>
      </w:r>
      <w:r>
        <w:t>le</w:t>
      </w:r>
      <w:r>
        <w:rPr>
          <w:spacing w:val="-4"/>
        </w:rPr>
        <w:t xml:space="preserve"> </w:t>
      </w:r>
      <w:r>
        <w:t>terme</w:t>
      </w:r>
      <w:r>
        <w:rPr>
          <w:spacing w:val="-1"/>
        </w:rPr>
        <w:t xml:space="preserve"> </w:t>
      </w:r>
      <w:r>
        <w:t>COCO</w:t>
      </w:r>
      <w:r>
        <w:rPr>
          <w:spacing w:val="-1"/>
        </w:rPr>
        <w:t xml:space="preserve"> </w:t>
      </w:r>
      <w:r>
        <w:t>retiendra</w:t>
      </w:r>
      <w:r>
        <w:rPr>
          <w:spacing w:val="-2"/>
        </w:rPr>
        <w:t xml:space="preserve"> </w:t>
      </w:r>
      <w:r>
        <w:t>l’attention</w:t>
      </w:r>
      <w:r>
        <w:rPr>
          <w:spacing w:val="-3"/>
        </w:rPr>
        <w:t xml:space="preserve"> </w:t>
      </w:r>
      <w:r>
        <w:t>du</w:t>
      </w:r>
      <w:r>
        <w:rPr>
          <w:spacing w:val="-3"/>
        </w:rPr>
        <w:t xml:space="preserve"> </w:t>
      </w:r>
      <w:r>
        <w:t>consommateur au</w:t>
      </w:r>
      <w:r>
        <w:rPr>
          <w:spacing w:val="-4"/>
        </w:rPr>
        <w:t xml:space="preserve"> </w:t>
      </w:r>
      <w:r>
        <w:t>sein</w:t>
      </w:r>
      <w:r>
        <w:rPr>
          <w:spacing w:val="-3"/>
        </w:rPr>
        <w:t xml:space="preserve"> </w:t>
      </w:r>
      <w:r>
        <w:t>du</w:t>
      </w:r>
      <w:r>
        <w:rPr>
          <w:spacing w:val="-3"/>
        </w:rPr>
        <w:t xml:space="preserve"> </w:t>
      </w:r>
      <w:r>
        <w:t>signe</w:t>
      </w:r>
      <w:r>
        <w:rPr>
          <w:spacing w:val="-2"/>
        </w:rPr>
        <w:t xml:space="preserve"> contesté.</w:t>
      </w:r>
    </w:p>
    <w:p w14:paraId="5C2894CC" w14:textId="77777777" w:rsidR="00310D9F" w:rsidRDefault="00310D9F">
      <w:pPr>
        <w:pStyle w:val="Corpsdetexte"/>
      </w:pPr>
    </w:p>
    <w:p w14:paraId="1BE13592" w14:textId="77777777" w:rsidR="00310D9F" w:rsidRDefault="00000000">
      <w:pPr>
        <w:pStyle w:val="Corpsdetexte"/>
        <w:ind w:left="3" w:right="154"/>
        <w:jc w:val="both"/>
      </w:pPr>
      <w:r>
        <w:t>Par ailleurs, l’argument de la société déposante selon lequel des marques enregistrées comportant le</w:t>
      </w:r>
      <w:r>
        <w:rPr>
          <w:spacing w:val="-1"/>
        </w:rPr>
        <w:t xml:space="preserve"> </w:t>
      </w:r>
      <w:r>
        <w:t>terme COCO sont</w:t>
      </w:r>
      <w:r>
        <w:rPr>
          <w:spacing w:val="-1"/>
        </w:rPr>
        <w:t xml:space="preserve"> </w:t>
      </w:r>
      <w:r>
        <w:t>enregistrées en classe 14 ne</w:t>
      </w:r>
      <w:r>
        <w:rPr>
          <w:spacing w:val="-1"/>
        </w:rPr>
        <w:t xml:space="preserve"> </w:t>
      </w:r>
      <w:r>
        <w:t>saurait être</w:t>
      </w:r>
      <w:r>
        <w:rPr>
          <w:spacing w:val="-1"/>
        </w:rPr>
        <w:t xml:space="preserve"> </w:t>
      </w:r>
      <w:r>
        <w:t>pris en considération pour écarter la similarité entre les deux signes en présence.</w:t>
      </w:r>
    </w:p>
    <w:p w14:paraId="29D0E540" w14:textId="77777777" w:rsidR="00310D9F" w:rsidRDefault="00310D9F">
      <w:pPr>
        <w:pStyle w:val="Corpsdetexte"/>
      </w:pPr>
    </w:p>
    <w:p w14:paraId="4DF79F77" w14:textId="77777777" w:rsidR="00310D9F" w:rsidRDefault="00000000">
      <w:pPr>
        <w:pStyle w:val="Corpsdetexte"/>
        <w:ind w:left="3" w:right="151"/>
        <w:jc w:val="both"/>
      </w:pPr>
      <w:r>
        <w:t xml:space="preserve">En effet, d’une part, rien ne permet d’affirmer que ces marques coexistent paisiblement avec la marque antérieure invoquée, ne pouvant ainsi être exclu l’existence d’éventuels accords de coexistence entre les titulaires de ces marques et, d’autre part, le titulaire d’une marque est seul juge de l’opportunité d’engager des actions contre les éventuelles atteintes à ses droits de </w:t>
      </w:r>
      <w:r>
        <w:rPr>
          <w:spacing w:val="-2"/>
        </w:rPr>
        <w:t>marques.</w:t>
      </w:r>
    </w:p>
    <w:p w14:paraId="2FAD828E" w14:textId="77777777" w:rsidR="00310D9F" w:rsidRDefault="00310D9F">
      <w:pPr>
        <w:pStyle w:val="Corpsdetexte"/>
      </w:pPr>
    </w:p>
    <w:p w14:paraId="2E7651C3" w14:textId="77777777" w:rsidR="00310D9F" w:rsidRDefault="00000000">
      <w:pPr>
        <w:pStyle w:val="Corpsdetexte"/>
        <w:ind w:left="3" w:right="148"/>
        <w:jc w:val="both"/>
      </w:pPr>
      <w:r>
        <w:t>Ainsi, il résulte, tant des ressemblances d'ensemble entre les signes que de la prise en considération de leurs éléments distinctifs et dominants, une similarité entre les signes pris dans leur ensemble.</w:t>
      </w:r>
    </w:p>
    <w:p w14:paraId="0C2B66F5" w14:textId="77777777" w:rsidR="00310D9F" w:rsidRDefault="00310D9F">
      <w:pPr>
        <w:pStyle w:val="Corpsdetexte"/>
      </w:pPr>
    </w:p>
    <w:p w14:paraId="7819728F" w14:textId="77777777" w:rsidR="00310D9F" w:rsidRDefault="00000000">
      <w:pPr>
        <w:pStyle w:val="Corpsdetexte"/>
        <w:ind w:left="3" w:right="110"/>
        <w:jc w:val="both"/>
      </w:pPr>
      <w:r>
        <w:t>Le signe verbal contesté COCOPINK BIJOUX est donc similaire à la marque verbale antérieure COCO.</w:t>
      </w:r>
    </w:p>
    <w:p w14:paraId="034CC294" w14:textId="77777777" w:rsidR="00310D9F" w:rsidRDefault="00310D9F">
      <w:pPr>
        <w:pStyle w:val="Corpsdetexte"/>
      </w:pPr>
    </w:p>
    <w:p w14:paraId="32D14729" w14:textId="77777777" w:rsidR="00310D9F" w:rsidRDefault="00310D9F">
      <w:pPr>
        <w:pStyle w:val="Corpsdetexte"/>
        <w:spacing w:before="20"/>
      </w:pPr>
    </w:p>
    <w:p w14:paraId="21A3CDDC" w14:textId="77777777" w:rsidR="00310D9F" w:rsidRDefault="00000000">
      <w:pPr>
        <w:pStyle w:val="Titre2"/>
        <w:spacing w:before="1"/>
        <w:ind w:left="711"/>
      </w:pPr>
      <w:r>
        <w:t>Sur</w:t>
      </w:r>
      <w:r>
        <w:rPr>
          <w:spacing w:val="11"/>
        </w:rPr>
        <w:t xml:space="preserve"> </w:t>
      </w:r>
      <w:r>
        <w:t>l'appréciation</w:t>
      </w:r>
      <w:r>
        <w:rPr>
          <w:spacing w:val="11"/>
        </w:rPr>
        <w:t xml:space="preserve"> </w:t>
      </w:r>
      <w:r>
        <w:t>globale</w:t>
      </w:r>
      <w:r>
        <w:rPr>
          <w:spacing w:val="9"/>
        </w:rPr>
        <w:t xml:space="preserve"> </w:t>
      </w:r>
      <w:r>
        <w:t>du</w:t>
      </w:r>
      <w:r>
        <w:rPr>
          <w:spacing w:val="10"/>
        </w:rPr>
        <w:t xml:space="preserve"> </w:t>
      </w:r>
      <w:r>
        <w:t>risque</w:t>
      </w:r>
      <w:r>
        <w:rPr>
          <w:spacing w:val="10"/>
        </w:rPr>
        <w:t xml:space="preserve"> </w:t>
      </w:r>
      <w:r>
        <w:t>de</w:t>
      </w:r>
      <w:r>
        <w:rPr>
          <w:spacing w:val="10"/>
        </w:rPr>
        <w:t xml:space="preserve"> </w:t>
      </w:r>
      <w:r>
        <w:rPr>
          <w:spacing w:val="-2"/>
        </w:rPr>
        <w:t>confusion</w:t>
      </w:r>
    </w:p>
    <w:p w14:paraId="241D32DC" w14:textId="77777777" w:rsidR="00310D9F" w:rsidRDefault="00310D9F">
      <w:pPr>
        <w:pStyle w:val="Corpsdetexte"/>
        <w:spacing w:before="75"/>
        <w:rPr>
          <w:rFonts w:ascii="Cambria"/>
          <w:b/>
        </w:rPr>
      </w:pPr>
    </w:p>
    <w:p w14:paraId="0F34F5C5" w14:textId="77777777" w:rsidR="00310D9F" w:rsidRDefault="00000000">
      <w:pPr>
        <w:pStyle w:val="Corpsdetexte"/>
        <w:ind w:left="3" w:right="155"/>
        <w:jc w:val="both"/>
      </w:pPr>
      <w:r>
        <w:t>L'appréciation globale du risque de confusion implique une certaine interdépendance des facteurs pris en compte et notamment la similitude des marques et la similarité des produits</w:t>
      </w:r>
      <w:r>
        <w:rPr>
          <w:spacing w:val="40"/>
        </w:rPr>
        <w:t xml:space="preserve"> </w:t>
      </w:r>
      <w:r>
        <w:t xml:space="preserve">ou des services désignés ; ainsi, un faible degré de similarité entre les produits et services désignés peut être compensé par un degré élevé de similitude entre les marques, et </w:t>
      </w:r>
      <w:r>
        <w:rPr>
          <w:spacing w:val="-2"/>
        </w:rPr>
        <w:t>inversement.</w:t>
      </w:r>
    </w:p>
    <w:p w14:paraId="7DC543DB" w14:textId="77777777" w:rsidR="00310D9F" w:rsidRDefault="00310D9F">
      <w:pPr>
        <w:pStyle w:val="Corpsdetexte"/>
      </w:pPr>
    </w:p>
    <w:p w14:paraId="13C918BB" w14:textId="77777777" w:rsidR="00310D9F" w:rsidRDefault="00000000">
      <w:pPr>
        <w:pStyle w:val="Corpsdetexte"/>
        <w:ind w:left="3" w:right="163"/>
        <w:jc w:val="both"/>
      </w:pPr>
      <w:r>
        <w:t>En l’espèce, le risque de confusion entre les marques en cause est encore aggravé par l’identité et la similarité des produits en présence.</w:t>
      </w:r>
    </w:p>
    <w:p w14:paraId="24C66E44" w14:textId="77777777" w:rsidR="00310D9F" w:rsidRDefault="00310D9F">
      <w:pPr>
        <w:pStyle w:val="Corpsdetexte"/>
      </w:pPr>
    </w:p>
    <w:p w14:paraId="6B80E03F" w14:textId="77777777" w:rsidR="00310D9F" w:rsidRDefault="00000000">
      <w:pPr>
        <w:pStyle w:val="Corpsdetexte"/>
        <w:ind w:left="3" w:right="157"/>
        <w:jc w:val="both"/>
      </w:pPr>
      <w:r>
        <w:t>Ainsi, en raison de l’identité et de la similarité des produits en cause et de la similitude des signes, il existe globalement un risque de confusion dans l'esprit du public sur l’origine des produits précités.</w:t>
      </w:r>
    </w:p>
    <w:p w14:paraId="4A27BDE8" w14:textId="77777777" w:rsidR="00310D9F" w:rsidRDefault="00310D9F">
      <w:pPr>
        <w:pStyle w:val="Corpsdetexte"/>
      </w:pPr>
    </w:p>
    <w:p w14:paraId="71AD5235" w14:textId="77777777" w:rsidR="00310D9F" w:rsidRDefault="00000000">
      <w:pPr>
        <w:ind w:left="3" w:right="139"/>
        <w:jc w:val="both"/>
        <w:rPr>
          <w:sz w:val="24"/>
        </w:rPr>
      </w:pPr>
      <w:r>
        <w:rPr>
          <w:sz w:val="24"/>
        </w:rPr>
        <w:t xml:space="preserve">A cet égard, ne saurait prospérer l’argument de la société déposante selon lequel </w:t>
      </w:r>
      <w:r>
        <w:rPr>
          <w:i/>
          <w:sz w:val="24"/>
        </w:rPr>
        <w:t>«</w:t>
      </w:r>
      <w:r>
        <w:rPr>
          <w:i/>
          <w:spacing w:val="-2"/>
          <w:sz w:val="24"/>
        </w:rPr>
        <w:t xml:space="preserve"> </w:t>
      </w:r>
      <w:r>
        <w:rPr>
          <w:i/>
          <w:sz w:val="24"/>
        </w:rPr>
        <w:t>…en recherchant « BIJOUX COCO » sur GOOGLE, aucune mention relative à la marque «</w:t>
      </w:r>
      <w:r>
        <w:rPr>
          <w:i/>
          <w:spacing w:val="40"/>
          <w:sz w:val="24"/>
        </w:rPr>
        <w:t xml:space="preserve"> </w:t>
      </w:r>
      <w:r>
        <w:rPr>
          <w:i/>
          <w:sz w:val="24"/>
        </w:rPr>
        <w:t>COCO CHANEL » n’apparaît sur les premières pages de résultat… »</w:t>
      </w:r>
      <w:r>
        <w:rPr>
          <w:sz w:val="24"/>
        </w:rPr>
        <w:t>.</w:t>
      </w:r>
    </w:p>
    <w:p w14:paraId="2137AECC" w14:textId="77777777" w:rsidR="00310D9F" w:rsidRDefault="00310D9F">
      <w:pPr>
        <w:jc w:val="both"/>
        <w:rPr>
          <w:sz w:val="24"/>
        </w:rPr>
        <w:sectPr w:rsidR="00310D9F">
          <w:pgSz w:w="11910" w:h="16840"/>
          <w:pgMar w:top="1180" w:right="1275" w:bottom="540" w:left="1417" w:header="720" w:footer="347" w:gutter="0"/>
          <w:cols w:space="720"/>
        </w:sectPr>
      </w:pPr>
    </w:p>
    <w:p w14:paraId="70397F2E" w14:textId="77777777" w:rsidR="00310D9F" w:rsidRDefault="00310D9F">
      <w:pPr>
        <w:pStyle w:val="Corpsdetexte"/>
        <w:spacing w:before="228"/>
      </w:pPr>
    </w:p>
    <w:p w14:paraId="68D0F4F4" w14:textId="77777777" w:rsidR="00310D9F" w:rsidRDefault="00000000">
      <w:pPr>
        <w:ind w:left="3" w:right="142"/>
        <w:jc w:val="both"/>
        <w:rPr>
          <w:sz w:val="24"/>
        </w:rPr>
      </w:pPr>
      <w:r>
        <w:rPr>
          <w:sz w:val="24"/>
        </w:rPr>
        <w:t>En effet, il convient de préciser que l’absence d’occurrence internet issue d’une telle</w:t>
      </w:r>
      <w:r>
        <w:rPr>
          <w:spacing w:val="40"/>
          <w:sz w:val="24"/>
        </w:rPr>
        <w:t xml:space="preserve"> </w:t>
      </w:r>
      <w:r>
        <w:rPr>
          <w:sz w:val="24"/>
        </w:rPr>
        <w:t>recherche ne saurait, per se, aboutir à la conclusion d’absence de similarité entre les deux comme semble le</w:t>
      </w:r>
      <w:r>
        <w:rPr>
          <w:spacing w:val="-1"/>
          <w:sz w:val="24"/>
        </w:rPr>
        <w:t xml:space="preserve"> </w:t>
      </w:r>
      <w:r>
        <w:rPr>
          <w:sz w:val="24"/>
        </w:rPr>
        <w:t>soutenir</w:t>
      </w:r>
      <w:r>
        <w:rPr>
          <w:spacing w:val="-2"/>
          <w:sz w:val="24"/>
        </w:rPr>
        <w:t xml:space="preserve"> </w:t>
      </w:r>
      <w:r>
        <w:rPr>
          <w:sz w:val="24"/>
        </w:rPr>
        <w:t>la société déposante</w:t>
      </w:r>
      <w:r>
        <w:rPr>
          <w:spacing w:val="-1"/>
          <w:sz w:val="24"/>
        </w:rPr>
        <w:t xml:space="preserve"> </w:t>
      </w:r>
      <w:r>
        <w:rPr>
          <w:sz w:val="24"/>
        </w:rPr>
        <w:t>en</w:t>
      </w:r>
      <w:r>
        <w:rPr>
          <w:spacing w:val="-2"/>
          <w:sz w:val="24"/>
        </w:rPr>
        <w:t xml:space="preserve"> </w:t>
      </w:r>
      <w:r>
        <w:rPr>
          <w:sz w:val="24"/>
        </w:rPr>
        <w:t>précisant que</w:t>
      </w:r>
      <w:r>
        <w:rPr>
          <w:spacing w:val="-2"/>
          <w:sz w:val="24"/>
        </w:rPr>
        <w:t xml:space="preserve"> </w:t>
      </w:r>
      <w:r>
        <w:rPr>
          <w:sz w:val="24"/>
        </w:rPr>
        <w:t xml:space="preserve">« </w:t>
      </w:r>
      <w:r>
        <w:rPr>
          <w:i/>
          <w:sz w:val="24"/>
        </w:rPr>
        <w:t>La</w:t>
      </w:r>
      <w:r>
        <w:rPr>
          <w:i/>
          <w:spacing w:val="-2"/>
          <w:sz w:val="24"/>
        </w:rPr>
        <w:t xml:space="preserve"> </w:t>
      </w:r>
      <w:r>
        <w:rPr>
          <w:i/>
          <w:sz w:val="24"/>
        </w:rPr>
        <w:t>notoriété</w:t>
      </w:r>
      <w:r>
        <w:rPr>
          <w:i/>
          <w:spacing w:val="-1"/>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marque</w:t>
      </w:r>
      <w:r>
        <w:rPr>
          <w:i/>
          <w:spacing w:val="-2"/>
          <w:sz w:val="24"/>
        </w:rPr>
        <w:t xml:space="preserve"> </w:t>
      </w:r>
      <w:r>
        <w:rPr>
          <w:i/>
          <w:sz w:val="24"/>
        </w:rPr>
        <w:t xml:space="preserve">« COCO » en matière de bijoux notamment, n’est ainsi pas démontrée </w:t>
      </w:r>
      <w:r>
        <w:rPr>
          <w:sz w:val="24"/>
        </w:rPr>
        <w:t>».</w:t>
      </w:r>
    </w:p>
    <w:p w14:paraId="33522E8D" w14:textId="77777777" w:rsidR="00310D9F" w:rsidRDefault="00310D9F">
      <w:pPr>
        <w:pStyle w:val="Corpsdetexte"/>
      </w:pPr>
    </w:p>
    <w:p w14:paraId="72D09F00" w14:textId="77777777" w:rsidR="00310D9F" w:rsidRDefault="00000000">
      <w:pPr>
        <w:pStyle w:val="Corpsdetexte"/>
        <w:ind w:left="3" w:right="158"/>
        <w:jc w:val="both"/>
      </w:pPr>
      <w:r>
        <w:t>A cet égard, il convient de rappeler que la notoriété d’une marque au regard des produits qu’elle désigne ne constitue qu’un élément accentuant un risque de confusion mais aucunement un élément constitutif de ce dernier.</w:t>
      </w:r>
    </w:p>
    <w:p w14:paraId="4870C3A7" w14:textId="77777777" w:rsidR="00310D9F" w:rsidRDefault="00310D9F">
      <w:pPr>
        <w:pStyle w:val="Corpsdetexte"/>
      </w:pPr>
    </w:p>
    <w:p w14:paraId="290EB2DD" w14:textId="77777777" w:rsidR="00310D9F" w:rsidRDefault="00000000">
      <w:pPr>
        <w:pStyle w:val="Corpsdetexte"/>
        <w:ind w:left="3" w:right="154"/>
        <w:jc w:val="both"/>
      </w:pPr>
      <w:r>
        <w:t xml:space="preserve">Par conséquent, cette circonstance ne saurait supprimer le risque de confusion précédemment </w:t>
      </w:r>
      <w:r>
        <w:rPr>
          <w:spacing w:val="-2"/>
        </w:rPr>
        <w:t>établit.</w:t>
      </w:r>
    </w:p>
    <w:p w14:paraId="33F08FEB" w14:textId="77777777" w:rsidR="00310D9F" w:rsidRDefault="00310D9F">
      <w:pPr>
        <w:pStyle w:val="Corpsdetexte"/>
        <w:jc w:val="both"/>
        <w:sectPr w:rsidR="00310D9F">
          <w:headerReference w:type="default" r:id="rId13"/>
          <w:footerReference w:type="default" r:id="rId14"/>
          <w:pgSz w:w="11910" w:h="16840"/>
          <w:pgMar w:top="1180" w:right="1275" w:bottom="540" w:left="1417" w:header="720" w:footer="347" w:gutter="0"/>
          <w:cols w:space="720"/>
        </w:sectPr>
      </w:pPr>
    </w:p>
    <w:p w14:paraId="2ECDF6B9" w14:textId="77777777" w:rsidR="00310D9F" w:rsidRDefault="00310D9F">
      <w:pPr>
        <w:pStyle w:val="Corpsdetexte"/>
      </w:pPr>
    </w:p>
    <w:p w14:paraId="2E7EF492" w14:textId="77777777" w:rsidR="00310D9F" w:rsidRDefault="00310D9F">
      <w:pPr>
        <w:pStyle w:val="Corpsdetexte"/>
        <w:spacing w:before="248"/>
      </w:pPr>
    </w:p>
    <w:p w14:paraId="577944F4" w14:textId="77777777" w:rsidR="00310D9F" w:rsidRDefault="00000000">
      <w:pPr>
        <w:pStyle w:val="Titre1"/>
      </w:pPr>
      <w:r>
        <w:rPr>
          <w:spacing w:val="-2"/>
          <w:w w:val="105"/>
        </w:rPr>
        <w:t>CONCLUSION</w:t>
      </w:r>
    </w:p>
    <w:p w14:paraId="62571C28" w14:textId="77777777" w:rsidR="00310D9F" w:rsidRDefault="00310D9F">
      <w:pPr>
        <w:pStyle w:val="Corpsdetexte"/>
        <w:spacing w:before="75"/>
        <w:rPr>
          <w:rFonts w:ascii="Cambria"/>
          <w:b/>
        </w:rPr>
      </w:pPr>
    </w:p>
    <w:p w14:paraId="42E00A5D" w14:textId="77777777" w:rsidR="00310D9F" w:rsidRDefault="00000000">
      <w:pPr>
        <w:pStyle w:val="Corpsdetexte"/>
        <w:ind w:left="3" w:right="153"/>
        <w:jc w:val="both"/>
      </w:pPr>
      <w:r>
        <w:t>En conséquence, le signe verbal COCOPINK BIJOUX ne peut pas être adopté comme</w:t>
      </w:r>
      <w:r>
        <w:rPr>
          <w:spacing w:val="40"/>
        </w:rPr>
        <w:t xml:space="preserve"> </w:t>
      </w:r>
      <w:r>
        <w:t>marque pour désigner des produits identiques et similaires, sans porter atteinte aux droits antérieurs de la société opposante.</w:t>
      </w:r>
    </w:p>
    <w:p w14:paraId="27FA77D7" w14:textId="77777777" w:rsidR="00310D9F" w:rsidRDefault="00310D9F">
      <w:pPr>
        <w:pStyle w:val="Corpsdetexte"/>
      </w:pPr>
    </w:p>
    <w:p w14:paraId="4ED435B7" w14:textId="77777777" w:rsidR="00310D9F" w:rsidRDefault="00310D9F">
      <w:pPr>
        <w:pStyle w:val="Corpsdetexte"/>
      </w:pPr>
    </w:p>
    <w:p w14:paraId="3E1D99AD" w14:textId="77777777" w:rsidR="00310D9F" w:rsidRDefault="00310D9F">
      <w:pPr>
        <w:pStyle w:val="Corpsdetexte"/>
        <w:spacing w:before="74"/>
      </w:pPr>
    </w:p>
    <w:p w14:paraId="109D66C7" w14:textId="77777777" w:rsidR="00310D9F" w:rsidRDefault="00000000">
      <w:pPr>
        <w:pStyle w:val="Titre1"/>
      </w:pPr>
      <w:r>
        <w:rPr>
          <w:w w:val="105"/>
        </w:rPr>
        <w:t>PAR</w:t>
      </w:r>
      <w:r>
        <w:rPr>
          <w:spacing w:val="-11"/>
          <w:w w:val="105"/>
        </w:rPr>
        <w:t xml:space="preserve"> </w:t>
      </w:r>
      <w:r>
        <w:rPr>
          <w:w w:val="105"/>
        </w:rPr>
        <w:t>CES</w:t>
      </w:r>
      <w:r>
        <w:rPr>
          <w:spacing w:val="-12"/>
          <w:w w:val="105"/>
        </w:rPr>
        <w:t xml:space="preserve"> </w:t>
      </w:r>
      <w:r>
        <w:rPr>
          <w:spacing w:val="-2"/>
          <w:w w:val="105"/>
        </w:rPr>
        <w:t>MOTIFS,</w:t>
      </w:r>
    </w:p>
    <w:p w14:paraId="017CAD79" w14:textId="77777777" w:rsidR="00310D9F" w:rsidRDefault="00310D9F">
      <w:pPr>
        <w:pStyle w:val="Corpsdetexte"/>
        <w:rPr>
          <w:rFonts w:ascii="Cambria"/>
          <w:b/>
        </w:rPr>
      </w:pPr>
    </w:p>
    <w:p w14:paraId="2717B1E2" w14:textId="77777777" w:rsidR="00310D9F" w:rsidRDefault="00310D9F">
      <w:pPr>
        <w:pStyle w:val="Corpsdetexte"/>
        <w:spacing w:before="36"/>
        <w:rPr>
          <w:rFonts w:ascii="Cambria"/>
          <w:b/>
        </w:rPr>
      </w:pPr>
    </w:p>
    <w:p w14:paraId="530FE40C" w14:textId="77777777" w:rsidR="00310D9F" w:rsidRDefault="00000000">
      <w:pPr>
        <w:ind w:right="92"/>
        <w:jc w:val="center"/>
        <w:rPr>
          <w:rFonts w:ascii="Cambria"/>
          <w:b/>
          <w:sz w:val="24"/>
        </w:rPr>
      </w:pPr>
      <w:r>
        <w:rPr>
          <w:rFonts w:ascii="Cambria"/>
          <w:b/>
          <w:spacing w:val="-2"/>
          <w:w w:val="105"/>
          <w:sz w:val="24"/>
        </w:rPr>
        <w:t>DECIDE</w:t>
      </w:r>
    </w:p>
    <w:p w14:paraId="23AC8780" w14:textId="77777777" w:rsidR="00310D9F" w:rsidRDefault="00310D9F">
      <w:pPr>
        <w:pStyle w:val="Corpsdetexte"/>
        <w:rPr>
          <w:rFonts w:ascii="Cambria"/>
          <w:b/>
        </w:rPr>
      </w:pPr>
    </w:p>
    <w:p w14:paraId="2CD70148" w14:textId="77777777" w:rsidR="00310D9F" w:rsidRDefault="00310D9F">
      <w:pPr>
        <w:pStyle w:val="Corpsdetexte"/>
        <w:spacing w:before="38"/>
        <w:rPr>
          <w:rFonts w:ascii="Cambria"/>
          <w:b/>
        </w:rPr>
      </w:pPr>
    </w:p>
    <w:p w14:paraId="4F590172" w14:textId="77777777" w:rsidR="00310D9F" w:rsidRDefault="00000000">
      <w:pPr>
        <w:ind w:left="3"/>
        <w:jc w:val="both"/>
        <w:rPr>
          <w:sz w:val="24"/>
        </w:rPr>
      </w:pPr>
      <w:r>
        <w:rPr>
          <w:rFonts w:ascii="Cambria" w:hAnsi="Cambria"/>
          <w:b/>
          <w:sz w:val="24"/>
        </w:rPr>
        <w:t>Article</w:t>
      </w:r>
      <w:r>
        <w:rPr>
          <w:rFonts w:ascii="Cambria" w:hAnsi="Cambria"/>
          <w:b/>
          <w:spacing w:val="-4"/>
          <w:sz w:val="24"/>
        </w:rPr>
        <w:t xml:space="preserve"> </w:t>
      </w:r>
      <w:r>
        <w:rPr>
          <w:rFonts w:ascii="Cambria" w:hAnsi="Cambria"/>
          <w:b/>
          <w:sz w:val="24"/>
        </w:rPr>
        <w:t>1</w:t>
      </w:r>
      <w:r>
        <w:rPr>
          <w:rFonts w:ascii="Cambria" w:hAnsi="Cambria"/>
          <w:b/>
          <w:spacing w:val="-2"/>
          <w:sz w:val="24"/>
        </w:rPr>
        <w:t xml:space="preserve"> </w:t>
      </w:r>
      <w:r>
        <w:rPr>
          <w:sz w:val="24"/>
        </w:rPr>
        <w:t>:</w:t>
      </w:r>
      <w:r>
        <w:rPr>
          <w:spacing w:val="2"/>
          <w:sz w:val="24"/>
        </w:rPr>
        <w:t xml:space="preserve"> </w:t>
      </w:r>
      <w:r>
        <w:rPr>
          <w:sz w:val="24"/>
        </w:rPr>
        <w:t>L'opposition</w:t>
      </w:r>
      <w:r>
        <w:rPr>
          <w:spacing w:val="3"/>
          <w:sz w:val="24"/>
        </w:rPr>
        <w:t xml:space="preserve"> </w:t>
      </w:r>
      <w:r>
        <w:rPr>
          <w:sz w:val="24"/>
        </w:rPr>
        <w:t>est reconnue</w:t>
      </w:r>
      <w:r>
        <w:rPr>
          <w:spacing w:val="2"/>
          <w:sz w:val="24"/>
        </w:rPr>
        <w:t xml:space="preserve"> </w:t>
      </w:r>
      <w:r>
        <w:rPr>
          <w:spacing w:val="-2"/>
          <w:sz w:val="24"/>
        </w:rPr>
        <w:t>justifiée.</w:t>
      </w:r>
    </w:p>
    <w:p w14:paraId="24994789" w14:textId="77777777" w:rsidR="00310D9F" w:rsidRDefault="00310D9F">
      <w:pPr>
        <w:pStyle w:val="Corpsdetexte"/>
        <w:spacing w:before="47"/>
      </w:pPr>
    </w:p>
    <w:p w14:paraId="275A136F" w14:textId="77777777" w:rsidR="00310D9F" w:rsidRDefault="00000000">
      <w:pPr>
        <w:pStyle w:val="Corpsdetexte"/>
        <w:ind w:left="3"/>
        <w:jc w:val="both"/>
      </w:pPr>
      <w:r>
        <w:rPr>
          <w:rFonts w:ascii="Cambria" w:hAnsi="Cambria"/>
          <w:b/>
        </w:rPr>
        <w:t>Article</w:t>
      </w:r>
      <w:r>
        <w:rPr>
          <w:rFonts w:ascii="Cambria" w:hAnsi="Cambria"/>
          <w:b/>
          <w:spacing w:val="-7"/>
        </w:rPr>
        <w:t xml:space="preserve"> </w:t>
      </w:r>
      <w:r>
        <w:rPr>
          <w:rFonts w:ascii="Cambria" w:hAnsi="Cambria"/>
          <w:b/>
        </w:rPr>
        <w:t>2</w:t>
      </w:r>
      <w:r>
        <w:rPr>
          <w:rFonts w:ascii="Cambria" w:hAnsi="Cambria"/>
          <w:b/>
          <w:spacing w:val="-5"/>
        </w:rPr>
        <w:t xml:space="preserve"> </w:t>
      </w:r>
      <w:r>
        <w:t>:</w:t>
      </w:r>
      <w:r>
        <w:rPr>
          <w:spacing w:val="-1"/>
        </w:rPr>
        <w:t xml:space="preserve"> </w:t>
      </w:r>
      <w:r>
        <w:t>La</w:t>
      </w:r>
      <w:r>
        <w:rPr>
          <w:spacing w:val="-4"/>
        </w:rPr>
        <w:t xml:space="preserve"> </w:t>
      </w:r>
      <w:r>
        <w:t>demande</w:t>
      </w:r>
      <w:r>
        <w:rPr>
          <w:spacing w:val="-1"/>
        </w:rPr>
        <w:t xml:space="preserve"> </w:t>
      </w:r>
      <w:r>
        <w:t>d'enregistrement n°23/4996141est</w:t>
      </w:r>
      <w:r>
        <w:rPr>
          <w:spacing w:val="-3"/>
        </w:rPr>
        <w:t xml:space="preserve"> </w:t>
      </w:r>
      <w:r>
        <w:t xml:space="preserve">totalement </w:t>
      </w:r>
      <w:r>
        <w:rPr>
          <w:spacing w:val="-2"/>
        </w:rPr>
        <w:t>rejetée.</w:t>
      </w:r>
    </w:p>
    <w:sectPr w:rsidR="00310D9F">
      <w:pgSz w:w="11910" w:h="16840"/>
      <w:pgMar w:top="1180" w:right="1275" w:bottom="540" w:left="1417"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F5CD" w14:textId="77777777" w:rsidR="005837F8" w:rsidRDefault="005837F8">
      <w:r>
        <w:separator/>
      </w:r>
    </w:p>
  </w:endnote>
  <w:endnote w:type="continuationSeparator" w:id="0">
    <w:p w14:paraId="59BDB887" w14:textId="77777777" w:rsidR="005837F8" w:rsidRDefault="005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1"/>
    <w:family w:val="roman"/>
    <w:pitch w:val="variable"/>
    <w:sig w:usb0="E00002FF" w:usb1="400004FF"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99BC" w14:textId="77777777" w:rsidR="00310D9F" w:rsidRDefault="00000000">
    <w:pPr>
      <w:pStyle w:val="Corpsdetexte"/>
      <w:spacing w:line="14" w:lineRule="auto"/>
      <w:rPr>
        <w:sz w:val="20"/>
      </w:rPr>
    </w:pPr>
    <w:r>
      <w:rPr>
        <w:noProof/>
        <w:sz w:val="20"/>
      </w:rPr>
      <w:drawing>
        <wp:anchor distT="0" distB="0" distL="0" distR="0" simplePos="0" relativeHeight="487471616" behindDoc="1" locked="0" layoutInCell="1" allowOverlap="1" wp14:anchorId="1F1DB80E" wp14:editId="522AC215">
          <wp:simplePos x="0" y="0"/>
          <wp:positionH relativeFrom="page">
            <wp:posOffset>41616</wp:posOffset>
          </wp:positionH>
          <wp:positionV relativeFrom="page">
            <wp:posOffset>10344542</wp:posOffset>
          </wp:positionV>
          <wp:extent cx="7435510" cy="231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E51E" w14:textId="77777777" w:rsidR="00310D9F" w:rsidRDefault="00000000">
    <w:pPr>
      <w:pStyle w:val="Corpsdetexte"/>
      <w:spacing w:line="14" w:lineRule="auto"/>
      <w:rPr>
        <w:sz w:val="20"/>
      </w:rPr>
    </w:pPr>
    <w:r>
      <w:rPr>
        <w:noProof/>
        <w:sz w:val="20"/>
      </w:rPr>
      <w:drawing>
        <wp:anchor distT="0" distB="0" distL="0" distR="0" simplePos="0" relativeHeight="487472640" behindDoc="1" locked="0" layoutInCell="1" allowOverlap="1" wp14:anchorId="37B6624E" wp14:editId="6AE60FA4">
          <wp:simplePos x="0" y="0"/>
          <wp:positionH relativeFrom="page">
            <wp:posOffset>41616</wp:posOffset>
          </wp:positionH>
          <wp:positionV relativeFrom="page">
            <wp:posOffset>10344542</wp:posOffset>
          </wp:positionV>
          <wp:extent cx="7435510" cy="23163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94ED" w14:textId="77777777" w:rsidR="00310D9F" w:rsidRDefault="00000000">
    <w:pPr>
      <w:pStyle w:val="Corpsdetexte"/>
      <w:spacing w:line="14" w:lineRule="auto"/>
      <w:rPr>
        <w:sz w:val="20"/>
      </w:rPr>
    </w:pPr>
    <w:r>
      <w:rPr>
        <w:noProof/>
        <w:sz w:val="20"/>
      </w:rPr>
      <w:drawing>
        <wp:anchor distT="0" distB="0" distL="0" distR="0" simplePos="0" relativeHeight="487473664" behindDoc="1" locked="0" layoutInCell="1" allowOverlap="1" wp14:anchorId="1E5840EC" wp14:editId="3ABF6F55">
          <wp:simplePos x="0" y="0"/>
          <wp:positionH relativeFrom="page">
            <wp:posOffset>41616</wp:posOffset>
          </wp:positionH>
          <wp:positionV relativeFrom="page">
            <wp:posOffset>10344542</wp:posOffset>
          </wp:positionV>
          <wp:extent cx="7435510" cy="23163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E14F" w14:textId="77777777" w:rsidR="005837F8" w:rsidRDefault="005837F8">
      <w:r>
        <w:separator/>
      </w:r>
    </w:p>
  </w:footnote>
  <w:footnote w:type="continuationSeparator" w:id="0">
    <w:p w14:paraId="219E2A74" w14:textId="77777777" w:rsidR="005837F8" w:rsidRDefault="0058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B698" w14:textId="77777777" w:rsidR="00310D9F" w:rsidRDefault="00000000">
    <w:pPr>
      <w:pStyle w:val="Corpsdetexte"/>
      <w:spacing w:line="14" w:lineRule="auto"/>
      <w:rPr>
        <w:sz w:val="20"/>
      </w:rPr>
    </w:pPr>
    <w:r>
      <w:rPr>
        <w:noProof/>
        <w:sz w:val="20"/>
      </w:rPr>
      <mc:AlternateContent>
        <mc:Choice Requires="wps">
          <w:drawing>
            <wp:anchor distT="0" distB="0" distL="0" distR="0" simplePos="0" relativeHeight="487472128" behindDoc="1" locked="0" layoutInCell="1" allowOverlap="1" wp14:anchorId="4D648708" wp14:editId="249D0ADC">
              <wp:simplePos x="0" y="0"/>
              <wp:positionH relativeFrom="page">
                <wp:posOffset>6559550</wp:posOffset>
              </wp:positionH>
              <wp:positionV relativeFrom="page">
                <wp:posOffset>444368</wp:posOffset>
              </wp:positionV>
              <wp:extent cx="15240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5D1EE24C" w14:textId="77777777" w:rsidR="00310D9F" w:rsidRDefault="00000000">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6.5pt;margin-top:34.989639pt;width:12pt;height:13.1pt;mso-position-horizontal-relative:page;mso-position-vertical-relative:page;z-index:-15844352" type="#_x0000_t202" id="docshape1" filled="false" stroked="false">
              <v:textbox inset="0,0,0,0">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067D" w14:textId="77777777" w:rsidR="00310D9F" w:rsidRDefault="00000000">
    <w:pPr>
      <w:pStyle w:val="Corpsdetexte"/>
      <w:spacing w:line="14" w:lineRule="auto"/>
      <w:rPr>
        <w:sz w:val="20"/>
      </w:rPr>
    </w:pPr>
    <w:r>
      <w:rPr>
        <w:noProof/>
        <w:sz w:val="20"/>
      </w:rPr>
      <mc:AlternateContent>
        <mc:Choice Requires="wps">
          <w:drawing>
            <wp:anchor distT="0" distB="0" distL="0" distR="0" simplePos="0" relativeHeight="487473152" behindDoc="1" locked="0" layoutInCell="1" allowOverlap="1" wp14:anchorId="16F30775" wp14:editId="0471D72B">
              <wp:simplePos x="0" y="0"/>
              <wp:positionH relativeFrom="page">
                <wp:posOffset>6559550</wp:posOffset>
              </wp:positionH>
              <wp:positionV relativeFrom="page">
                <wp:posOffset>444368</wp:posOffset>
              </wp:positionV>
              <wp:extent cx="15240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18B3F32B" w14:textId="77777777" w:rsidR="00310D9F" w:rsidRDefault="00000000">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6.5pt;margin-top:34.989639pt;width:12pt;height:13.1pt;mso-position-horizontal-relative:page;mso-position-vertical-relative:page;z-index:-15843328" type="#_x0000_t202" id="docshape2" filled="false" stroked="false">
              <v:textbox inset="0,0,0,0">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512A4"/>
    <w:multiLevelType w:val="hybridMultilevel"/>
    <w:tmpl w:val="9986314E"/>
    <w:lvl w:ilvl="0" w:tplc="ECE6B150">
      <w:start w:val="1"/>
      <w:numFmt w:val="upperLetter"/>
      <w:lvlText w:val="%1)"/>
      <w:lvlJc w:val="left"/>
      <w:pPr>
        <w:ind w:left="723" w:hanging="360"/>
        <w:jc w:val="left"/>
      </w:pPr>
      <w:rPr>
        <w:rFonts w:ascii="Cambria" w:eastAsia="Cambria" w:hAnsi="Cambria" w:cs="Cambria" w:hint="default"/>
        <w:b/>
        <w:bCs/>
        <w:i w:val="0"/>
        <w:iCs w:val="0"/>
        <w:spacing w:val="0"/>
        <w:w w:val="96"/>
        <w:sz w:val="24"/>
        <w:szCs w:val="24"/>
        <w:lang w:val="fr-FR" w:eastAsia="en-US" w:bidi="ar-SA"/>
      </w:rPr>
    </w:lvl>
    <w:lvl w:ilvl="1" w:tplc="BDF04AE0">
      <w:numFmt w:val="bullet"/>
      <w:lvlText w:val="•"/>
      <w:lvlJc w:val="left"/>
      <w:pPr>
        <w:ind w:left="1569" w:hanging="360"/>
      </w:pPr>
      <w:rPr>
        <w:rFonts w:hint="default"/>
        <w:lang w:val="fr-FR" w:eastAsia="en-US" w:bidi="ar-SA"/>
      </w:rPr>
    </w:lvl>
    <w:lvl w:ilvl="2" w:tplc="D34CA20E">
      <w:numFmt w:val="bullet"/>
      <w:lvlText w:val="•"/>
      <w:lvlJc w:val="left"/>
      <w:pPr>
        <w:ind w:left="2418" w:hanging="360"/>
      </w:pPr>
      <w:rPr>
        <w:rFonts w:hint="default"/>
        <w:lang w:val="fr-FR" w:eastAsia="en-US" w:bidi="ar-SA"/>
      </w:rPr>
    </w:lvl>
    <w:lvl w:ilvl="3" w:tplc="6FC65B42">
      <w:numFmt w:val="bullet"/>
      <w:lvlText w:val="•"/>
      <w:lvlJc w:val="left"/>
      <w:pPr>
        <w:ind w:left="3268" w:hanging="360"/>
      </w:pPr>
      <w:rPr>
        <w:rFonts w:hint="default"/>
        <w:lang w:val="fr-FR" w:eastAsia="en-US" w:bidi="ar-SA"/>
      </w:rPr>
    </w:lvl>
    <w:lvl w:ilvl="4" w:tplc="6CFC7BDA">
      <w:numFmt w:val="bullet"/>
      <w:lvlText w:val="•"/>
      <w:lvlJc w:val="left"/>
      <w:pPr>
        <w:ind w:left="4117" w:hanging="360"/>
      </w:pPr>
      <w:rPr>
        <w:rFonts w:hint="default"/>
        <w:lang w:val="fr-FR" w:eastAsia="en-US" w:bidi="ar-SA"/>
      </w:rPr>
    </w:lvl>
    <w:lvl w:ilvl="5" w:tplc="D7D0CFE8">
      <w:numFmt w:val="bullet"/>
      <w:lvlText w:val="•"/>
      <w:lvlJc w:val="left"/>
      <w:pPr>
        <w:ind w:left="4967" w:hanging="360"/>
      </w:pPr>
      <w:rPr>
        <w:rFonts w:hint="default"/>
        <w:lang w:val="fr-FR" w:eastAsia="en-US" w:bidi="ar-SA"/>
      </w:rPr>
    </w:lvl>
    <w:lvl w:ilvl="6" w:tplc="787E01DC">
      <w:numFmt w:val="bullet"/>
      <w:lvlText w:val="•"/>
      <w:lvlJc w:val="left"/>
      <w:pPr>
        <w:ind w:left="5816" w:hanging="360"/>
      </w:pPr>
      <w:rPr>
        <w:rFonts w:hint="default"/>
        <w:lang w:val="fr-FR" w:eastAsia="en-US" w:bidi="ar-SA"/>
      </w:rPr>
    </w:lvl>
    <w:lvl w:ilvl="7" w:tplc="B52E3776">
      <w:numFmt w:val="bullet"/>
      <w:lvlText w:val="•"/>
      <w:lvlJc w:val="left"/>
      <w:pPr>
        <w:ind w:left="6665" w:hanging="360"/>
      </w:pPr>
      <w:rPr>
        <w:rFonts w:hint="default"/>
        <w:lang w:val="fr-FR" w:eastAsia="en-US" w:bidi="ar-SA"/>
      </w:rPr>
    </w:lvl>
    <w:lvl w:ilvl="8" w:tplc="F9500CC6">
      <w:numFmt w:val="bullet"/>
      <w:lvlText w:val="•"/>
      <w:lvlJc w:val="left"/>
      <w:pPr>
        <w:ind w:left="7515" w:hanging="360"/>
      </w:pPr>
      <w:rPr>
        <w:rFonts w:hint="default"/>
        <w:lang w:val="fr-FR" w:eastAsia="en-US" w:bidi="ar-SA"/>
      </w:rPr>
    </w:lvl>
  </w:abstractNum>
  <w:num w:numId="1" w16cid:durableId="79648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0D9F"/>
    <w:rsid w:val="00310D9F"/>
    <w:rsid w:val="005837F8"/>
    <w:rsid w:val="006079EF"/>
    <w:rsid w:val="00F44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4F0BEC"/>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
      <w:outlineLvl w:val="0"/>
    </w:pPr>
    <w:rPr>
      <w:rFonts w:ascii="Cambria" w:eastAsia="Cambria" w:hAnsi="Cambria" w:cs="Cambria"/>
      <w:b/>
      <w:bCs/>
      <w:sz w:val="24"/>
      <w:szCs w:val="24"/>
    </w:rPr>
  </w:style>
  <w:style w:type="paragraph" w:styleId="Titre2">
    <w:name w:val="heading 2"/>
    <w:basedOn w:val="Normal"/>
    <w:uiPriority w:val="9"/>
    <w:unhideWhenUsed/>
    <w:qFormat/>
    <w:pPr>
      <w:ind w:left="713"/>
      <w:outlineLvl w:val="1"/>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1994"/>
      <w:jc w:val="center"/>
    </w:pPr>
    <w:rPr>
      <w:rFonts w:ascii="Cambria" w:eastAsia="Cambria" w:hAnsi="Cambria" w:cs="Cambria"/>
      <w:b/>
      <w:bCs/>
      <w:sz w:val="32"/>
      <w:szCs w:val="32"/>
    </w:rPr>
  </w:style>
  <w:style w:type="paragraph" w:styleId="Paragraphedeliste">
    <w:name w:val="List Paragraph"/>
    <w:basedOn w:val="Normal"/>
    <w:uiPriority w:val="1"/>
    <w:qFormat/>
    <w:pPr>
      <w:ind w:left="722" w:hanging="359"/>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1932</Words>
  <Characters>10629</Characters>
  <Application>Microsoft Office Word</Application>
  <DocSecurity>0</DocSecurity>
  <Lines>88</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2024-12-26T15:41:00Z</dcterms:created>
  <dcterms:modified xsi:type="dcterms:W3CDTF">2024-12-26T15:41:00Z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2024-12-26T00:00:00Z</vt:filetime>
  </property>
  <property fmtid="{D5CDD505-2E9C-101B-9397-08002B2CF9AE}" pid="4" name="Producer">
    <vt:lpwstr>PyPDF2</vt:lpwstr>
  </property>
</Properties>
</file>